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07B2C" w14:textId="1C21CBAF" w:rsidR="009E39CA" w:rsidRPr="009E39CA" w:rsidRDefault="009E39CA" w:rsidP="00990218">
      <w:pPr>
        <w:jc w:val="right"/>
      </w:pPr>
      <w:r>
        <w:fldChar w:fldCharType="begin"/>
      </w:r>
      <w:r>
        <w:instrText xml:space="preserve"> DATE \@ "dd/MM/yyyy" </w:instrText>
      </w:r>
      <w:r>
        <w:fldChar w:fldCharType="separate"/>
      </w:r>
      <w:r w:rsidR="00815100">
        <w:rPr>
          <w:noProof/>
        </w:rPr>
        <w:t>30/03/2026</w:t>
      </w:r>
      <w:r>
        <w:fldChar w:fldCharType="end"/>
      </w:r>
    </w:p>
    <w:p w14:paraId="2BCF3DC9" w14:textId="4F166E9F" w:rsidR="00697C43" w:rsidRDefault="00697C43" w:rsidP="00697C43">
      <w:pPr>
        <w:jc w:val="center"/>
        <w:rPr>
          <w:rFonts w:eastAsia="Times New Roman" w:cs="Times New Roman"/>
          <w:b/>
          <w:sz w:val="40"/>
          <w:szCs w:val="40"/>
        </w:rPr>
      </w:pPr>
      <w:r w:rsidRPr="00697C43">
        <w:rPr>
          <w:rFonts w:eastAsia="Times New Roman" w:cs="Times New Roman"/>
          <w:b/>
          <w:sz w:val="40"/>
          <w:szCs w:val="40"/>
        </w:rPr>
        <w:t xml:space="preserve">FEAD </w:t>
      </w:r>
      <w:r w:rsidR="00AF7AB8">
        <w:rPr>
          <w:rFonts w:eastAsia="Times New Roman" w:cs="Times New Roman"/>
          <w:b/>
          <w:sz w:val="40"/>
          <w:szCs w:val="40"/>
        </w:rPr>
        <w:t>position</w:t>
      </w:r>
      <w:r w:rsidRPr="00697C43">
        <w:rPr>
          <w:rFonts w:eastAsia="Times New Roman" w:cs="Times New Roman"/>
          <w:b/>
          <w:sz w:val="40"/>
          <w:szCs w:val="40"/>
        </w:rPr>
        <w:t xml:space="preserve">: </w:t>
      </w:r>
      <w:r w:rsidR="00A05BC1">
        <w:rPr>
          <w:rFonts w:eastAsia="Times New Roman" w:cs="Times New Roman"/>
          <w:b/>
          <w:sz w:val="40"/>
          <w:szCs w:val="40"/>
        </w:rPr>
        <w:t>Renewable energy legal framework post-2030</w:t>
      </w:r>
    </w:p>
    <w:p w14:paraId="1316EA58" w14:textId="23A203A7" w:rsidR="00F93039" w:rsidRDefault="00F93039" w:rsidP="00DC32B6">
      <w:pPr>
        <w:rPr>
          <w:rFonts w:cs="Arial"/>
          <w:lang/>
        </w:rPr>
      </w:pPr>
      <w:r>
        <w:rPr>
          <w:rFonts w:cs="Arial"/>
          <w:lang/>
        </w:rPr>
        <w:t xml:space="preserve">FEAD, the European Waste Management Association, </w:t>
      </w:r>
      <w:r w:rsidR="00274377">
        <w:rPr>
          <w:rFonts w:cs="Arial"/>
          <w:lang/>
        </w:rPr>
        <w:t xml:space="preserve">representing the private waste management industries </w:t>
      </w:r>
      <w:r w:rsidR="00E5290E">
        <w:rPr>
          <w:rFonts w:cs="Arial"/>
          <w:lang/>
        </w:rPr>
        <w:t xml:space="preserve">in Europe, welcomes the possibility to respond to this valuable initiative promoted by the European Commission on </w:t>
      </w:r>
      <w:r w:rsidR="00905CD3">
        <w:rPr>
          <w:rFonts w:cs="Arial"/>
          <w:lang/>
        </w:rPr>
        <w:t xml:space="preserve">shaping the renewable energy legal framework post-2030. </w:t>
      </w:r>
    </w:p>
    <w:p w14:paraId="1599C604" w14:textId="25CF0C48" w:rsidR="00DC32B6" w:rsidRPr="00282770" w:rsidRDefault="00DC32B6" w:rsidP="00DC32B6">
      <w:pPr>
        <w:rPr>
          <w:rFonts w:cs="Arial"/>
          <w:b/>
          <w:bCs/>
          <w:lang/>
        </w:rPr>
      </w:pPr>
      <w:r w:rsidRPr="00DC32B6">
        <w:rPr>
          <w:rFonts w:cs="Arial"/>
          <w:lang/>
        </w:rPr>
        <w:t xml:space="preserve">The waste management sector is a crucial contributor to Europe’s energy transition, supplying reliable, domestic renewable energy through </w:t>
      </w:r>
      <w:r w:rsidRPr="007A1B70">
        <w:rPr>
          <w:rFonts w:cs="Arial"/>
          <w:b/>
          <w:bCs/>
          <w:lang/>
        </w:rPr>
        <w:t>biogas, biomethane, waste-to-energy (WtE), and refuse-derived fuel (RDF</w:t>
      </w:r>
      <w:r w:rsidRPr="00282770">
        <w:rPr>
          <w:rFonts w:cs="Arial"/>
          <w:b/>
          <w:bCs/>
          <w:lang/>
        </w:rPr>
        <w:t>). These pathways not only reduce greenhouse gas emissions but also strengthen energy security, support industrial competitiveness, and advance circular economy objectives.</w:t>
      </w:r>
    </w:p>
    <w:p w14:paraId="4520EFD2" w14:textId="77777777" w:rsidR="00142E30" w:rsidRDefault="00142E30" w:rsidP="00DC32B6">
      <w:pPr>
        <w:rPr>
          <w:rFonts w:cs="Arial"/>
          <w:lang/>
        </w:rPr>
      </w:pPr>
    </w:p>
    <w:p w14:paraId="06D160F9" w14:textId="039DEDAF" w:rsidR="00142E30" w:rsidRDefault="00142E30" w:rsidP="00DC32B6">
      <w:pPr>
        <w:rPr>
          <w:rFonts w:cs="Arial"/>
        </w:rPr>
      </w:pPr>
      <w:r>
        <w:rPr>
          <w:rFonts w:cs="Arial"/>
          <w:lang/>
        </w:rPr>
        <w:t xml:space="preserve">In the call for evidence, </w:t>
      </w:r>
      <w:r>
        <w:rPr>
          <w:rFonts w:cs="Arial"/>
        </w:rPr>
        <w:t>it is mentioned that ‘</w:t>
      </w:r>
      <w:r w:rsidR="00A67250">
        <w:rPr>
          <w:rFonts w:cs="Arial"/>
          <w:lang/>
        </w:rPr>
        <w:t>w</w:t>
      </w:r>
      <w:r w:rsidR="00A67250" w:rsidRPr="00A67250">
        <w:rPr>
          <w:rFonts w:cs="Arial"/>
          <w:lang/>
        </w:rPr>
        <w:t xml:space="preserve">ith the development of the EU bioeconomy, biomass could become increasingly scarce for bioenergy </w:t>
      </w:r>
      <w:r w:rsidR="00AC7A44" w:rsidRPr="00A67250">
        <w:rPr>
          <w:rFonts w:cs="Arial"/>
          <w:lang/>
        </w:rPr>
        <w:t>uses</w:t>
      </w:r>
      <w:r w:rsidR="00731BED">
        <w:rPr>
          <w:rFonts w:cs="Arial"/>
          <w:lang/>
        </w:rPr>
        <w:t>’</w:t>
      </w:r>
      <w:r w:rsidRPr="00142E30">
        <w:rPr>
          <w:rFonts w:cs="Arial"/>
        </w:rPr>
        <w:t xml:space="preserve">. This makes it essential to </w:t>
      </w:r>
      <w:r w:rsidRPr="00142E30">
        <w:rPr>
          <w:rFonts w:cs="Arial"/>
          <w:b/>
          <w:bCs/>
        </w:rPr>
        <w:t>prioritise waste-based resources</w:t>
      </w:r>
      <w:r w:rsidRPr="00142E30">
        <w:rPr>
          <w:rFonts w:cs="Arial"/>
        </w:rPr>
        <w:t xml:space="preserve"> and ensure that biogas deployment supports both renewable energy targets and the </w:t>
      </w:r>
      <w:r w:rsidRPr="009B04B9">
        <w:rPr>
          <w:rFonts w:cs="Arial"/>
        </w:rPr>
        <w:t>implementation of EU waste legislation</w:t>
      </w:r>
      <w:r w:rsidRPr="00142E30">
        <w:rPr>
          <w:rFonts w:cs="Arial"/>
        </w:rPr>
        <w:t>.</w:t>
      </w:r>
    </w:p>
    <w:p w14:paraId="4C4824FC" w14:textId="77777777" w:rsidR="00BA522A" w:rsidRDefault="00BA522A" w:rsidP="00DC32B6">
      <w:pPr>
        <w:rPr>
          <w:rFonts w:cs="Arial"/>
        </w:rPr>
      </w:pPr>
    </w:p>
    <w:p w14:paraId="1AF18C13" w14:textId="3D6ADC1D" w:rsidR="00331E83" w:rsidRDefault="00926B86" w:rsidP="008418D1">
      <w:pPr>
        <w:rPr>
          <w:rFonts w:cs="Arial"/>
        </w:rPr>
      </w:pPr>
      <w:r w:rsidRPr="00926B86">
        <w:rPr>
          <w:rFonts w:cs="Arial"/>
        </w:rPr>
        <w:t>Although stronger incentives and support should be directed towards waste-based resources, FEAD considers that, from a long-term perspective, the renewable energy legal framework beyond 2030 should also address certain challenges related to the implementation of RED III.</w:t>
      </w:r>
    </w:p>
    <w:p w14:paraId="7DAEDD6A" w14:textId="77777777" w:rsidR="00926B86" w:rsidRPr="00BA522A" w:rsidRDefault="00926B86" w:rsidP="008418D1">
      <w:pPr>
        <w:rPr>
          <w:lang/>
        </w:rPr>
      </w:pPr>
    </w:p>
    <w:p w14:paraId="21F78082" w14:textId="5082CBCD" w:rsidR="00DC32B6" w:rsidRPr="00DC32B6" w:rsidRDefault="00DC32B6" w:rsidP="00DC32B6">
      <w:pPr>
        <w:pStyle w:val="Titolo2"/>
        <w:rPr>
          <w:lang/>
        </w:rPr>
      </w:pPr>
      <w:r w:rsidRPr="00DC32B6">
        <w:rPr>
          <w:lang/>
        </w:rPr>
        <w:t xml:space="preserve">Key </w:t>
      </w:r>
      <w:r w:rsidR="00BB32DE">
        <w:rPr>
          <w:lang/>
        </w:rPr>
        <w:t>c</w:t>
      </w:r>
      <w:r w:rsidRPr="00DC32B6">
        <w:rPr>
          <w:lang/>
        </w:rPr>
        <w:t xml:space="preserve">hallenges </w:t>
      </w:r>
      <w:r w:rsidR="00FC7378">
        <w:rPr>
          <w:lang/>
        </w:rPr>
        <w:t xml:space="preserve">in the implementation of </w:t>
      </w:r>
      <w:r w:rsidRPr="00DC32B6">
        <w:rPr>
          <w:lang/>
        </w:rPr>
        <w:t>RED III</w:t>
      </w:r>
    </w:p>
    <w:p w14:paraId="5774B519" w14:textId="6CA4DEE5" w:rsidR="00FB6FA6" w:rsidRPr="00EF7E14" w:rsidRDefault="00FB6FA6" w:rsidP="00DC32B6">
      <w:pPr>
        <w:numPr>
          <w:ilvl w:val="0"/>
          <w:numId w:val="6"/>
        </w:numPr>
        <w:rPr>
          <w:rFonts w:cs="Arial"/>
          <w:lang/>
        </w:rPr>
      </w:pPr>
      <w:r w:rsidRPr="00EF7E14">
        <w:rPr>
          <w:rFonts w:cs="Arial"/>
          <w:b/>
          <w:bCs/>
          <w:lang/>
        </w:rPr>
        <w:t>Delay in implementation:</w:t>
      </w:r>
      <w:r w:rsidRPr="00EF7E14">
        <w:rPr>
          <w:rFonts w:cs="Arial"/>
          <w:lang/>
        </w:rPr>
        <w:t xml:space="preserve"> </w:t>
      </w:r>
      <w:r w:rsidR="0063423F">
        <w:rPr>
          <w:rFonts w:cs="Arial"/>
        </w:rPr>
        <w:t>a</w:t>
      </w:r>
      <w:r w:rsidR="0063423F" w:rsidRPr="0063423F">
        <w:rPr>
          <w:rFonts w:cs="Arial"/>
        </w:rPr>
        <w:t>lthough competent authorities have some flexibility to grant derogations</w:t>
      </w:r>
      <w:r w:rsidR="0063423F">
        <w:rPr>
          <w:rFonts w:cs="Arial"/>
        </w:rPr>
        <w:t xml:space="preserve"> - </w:t>
      </w:r>
      <w:r w:rsidR="0063423F" w:rsidRPr="0063423F">
        <w:rPr>
          <w:rFonts w:cs="Arial"/>
        </w:rPr>
        <w:t>allowing more time for value chain actors to meet certification requirements, as is the case in France</w:t>
      </w:r>
      <w:r w:rsidR="0063423F">
        <w:rPr>
          <w:rFonts w:cs="Arial"/>
        </w:rPr>
        <w:t xml:space="preserve"> - </w:t>
      </w:r>
      <w:r w:rsidR="0063423F" w:rsidRPr="0063423F">
        <w:rPr>
          <w:rFonts w:cs="Arial"/>
        </w:rPr>
        <w:t>implementation delays continue to persist.</w:t>
      </w:r>
      <w:r w:rsidR="0063423F">
        <w:rPr>
          <w:rFonts w:cs="Arial"/>
        </w:rPr>
        <w:t xml:space="preserve"> </w:t>
      </w:r>
      <w:r w:rsidR="00145A94">
        <w:rPr>
          <w:rFonts w:cs="Arial"/>
          <w:lang/>
        </w:rPr>
        <w:t>T</w:t>
      </w:r>
      <w:r w:rsidR="00680CEB" w:rsidRPr="00EF7E14">
        <w:rPr>
          <w:rFonts w:cs="Arial"/>
          <w:lang/>
        </w:rPr>
        <w:t>he European Commission sent reasoned opinions to s</w:t>
      </w:r>
      <w:r w:rsidRPr="00EF7E14">
        <w:rPr>
          <w:rFonts w:cs="Arial"/>
          <w:lang/>
        </w:rPr>
        <w:t xml:space="preserve">ome EU Member States </w:t>
      </w:r>
      <w:r w:rsidR="00A57FFB" w:rsidRPr="00EF7E14">
        <w:rPr>
          <w:rFonts w:cs="Arial"/>
          <w:lang/>
        </w:rPr>
        <w:t>(Bulgaria</w:t>
      </w:r>
      <w:r w:rsidR="0086260B" w:rsidRPr="00EF7E14">
        <w:rPr>
          <w:rFonts w:cs="Arial"/>
          <w:lang/>
        </w:rPr>
        <w:t xml:space="preserve">, </w:t>
      </w:r>
      <w:r w:rsidR="00A57FFB" w:rsidRPr="00EF7E14">
        <w:rPr>
          <w:rFonts w:cs="Arial"/>
          <w:lang/>
        </w:rPr>
        <w:t>Spain</w:t>
      </w:r>
      <w:r w:rsidR="0086260B" w:rsidRPr="00EF7E14">
        <w:rPr>
          <w:rFonts w:cs="Arial"/>
          <w:lang/>
        </w:rPr>
        <w:t>,</w:t>
      </w:r>
      <w:r w:rsidR="00A57FFB" w:rsidRPr="00EF7E14">
        <w:rPr>
          <w:rFonts w:cs="Arial"/>
          <w:lang/>
        </w:rPr>
        <w:t xml:space="preserve"> France</w:t>
      </w:r>
      <w:r w:rsidR="0086260B" w:rsidRPr="00EF7E14">
        <w:rPr>
          <w:rFonts w:cs="Arial"/>
          <w:lang/>
        </w:rPr>
        <w:t>,</w:t>
      </w:r>
      <w:r w:rsidR="00A57FFB" w:rsidRPr="00EF7E14">
        <w:rPr>
          <w:rFonts w:cs="Arial"/>
          <w:lang/>
        </w:rPr>
        <w:t xml:space="preserve"> Italy</w:t>
      </w:r>
      <w:r w:rsidR="0086260B" w:rsidRPr="00EF7E14">
        <w:rPr>
          <w:rFonts w:cs="Arial"/>
          <w:lang/>
        </w:rPr>
        <w:t>,</w:t>
      </w:r>
      <w:r w:rsidR="00A57FFB" w:rsidRPr="00EF7E14">
        <w:rPr>
          <w:rFonts w:cs="Arial"/>
          <w:lang/>
        </w:rPr>
        <w:t xml:space="preserve"> Cyprus, the Netherlands</w:t>
      </w:r>
      <w:r w:rsidR="0086260B" w:rsidRPr="00EF7E14">
        <w:rPr>
          <w:rFonts w:cs="Arial"/>
          <w:lang/>
        </w:rPr>
        <w:t>,</w:t>
      </w:r>
      <w:r w:rsidR="00A57FFB" w:rsidRPr="00EF7E14">
        <w:rPr>
          <w:rFonts w:cs="Arial"/>
          <w:lang/>
        </w:rPr>
        <w:t xml:space="preserve"> Slovakia and Sweden</w:t>
      </w:r>
      <w:r w:rsidR="0086260B" w:rsidRPr="00EF7E14">
        <w:rPr>
          <w:rFonts w:cs="Arial"/>
          <w:lang/>
        </w:rPr>
        <w:t>)</w:t>
      </w:r>
      <w:r w:rsidR="00A57FFB" w:rsidRPr="00EF7E14">
        <w:rPr>
          <w:rFonts w:cs="Arial"/>
          <w:lang/>
        </w:rPr>
        <w:t xml:space="preserve"> for not having transposed into national law EU rules accelerating permitting procedures for renewable energy projects</w:t>
      </w:r>
      <w:r w:rsidR="00B51720" w:rsidRPr="00EF7E14">
        <w:rPr>
          <w:rFonts w:cs="Arial"/>
          <w:lang/>
        </w:rPr>
        <w:t>. Some others (</w:t>
      </w:r>
      <w:r w:rsidR="00B0686A" w:rsidRPr="00EF7E14">
        <w:rPr>
          <w:rFonts w:cs="Arial"/>
          <w:lang/>
        </w:rPr>
        <w:t xml:space="preserve">Greece, France, Italy, Cyprus, Hungary, Malta, Poland and Portugal) have been recalled for failing to </w:t>
      </w:r>
      <w:r w:rsidR="00C56979" w:rsidRPr="00EF7E14">
        <w:rPr>
          <w:rFonts w:cs="Arial"/>
          <w:lang/>
        </w:rPr>
        <w:t xml:space="preserve">fully transpose the provisions of the RED III into national law.  </w:t>
      </w:r>
    </w:p>
    <w:p w14:paraId="23296DED" w14:textId="39BB09D3" w:rsidR="00DC32B6" w:rsidRPr="00DC32B6" w:rsidRDefault="00DC32B6" w:rsidP="00DC32B6">
      <w:pPr>
        <w:numPr>
          <w:ilvl w:val="0"/>
          <w:numId w:val="6"/>
        </w:numPr>
        <w:rPr>
          <w:rFonts w:cs="Arial"/>
          <w:lang/>
        </w:rPr>
      </w:pPr>
      <w:r w:rsidRPr="00DC32B6">
        <w:rPr>
          <w:rFonts w:cs="Arial"/>
          <w:b/>
          <w:bCs/>
          <w:lang/>
        </w:rPr>
        <w:lastRenderedPageBreak/>
        <w:t>Complexity of certification:</w:t>
      </w:r>
      <w:r w:rsidRPr="00DC32B6">
        <w:rPr>
          <w:rFonts w:cs="Arial"/>
          <w:lang/>
        </w:rPr>
        <w:t xml:space="preserve"> Waste value chains are often long and involve numerous small actors. Full RED certification is challenging, with some supply chains achieving only 0–70% compliance. Small operators may face administrative and financial barriers to participation.</w:t>
      </w:r>
    </w:p>
    <w:p w14:paraId="076AD406" w14:textId="7BC8CD7E" w:rsidR="00DC32B6" w:rsidRPr="00DC32B6" w:rsidRDefault="00DC32B6" w:rsidP="00DC32B6">
      <w:pPr>
        <w:numPr>
          <w:ilvl w:val="0"/>
          <w:numId w:val="6"/>
        </w:numPr>
        <w:rPr>
          <w:rFonts w:cs="Arial"/>
          <w:lang/>
        </w:rPr>
      </w:pPr>
      <w:r w:rsidRPr="00DC32B6">
        <w:rPr>
          <w:rFonts w:cs="Arial"/>
          <w:b/>
          <w:bCs/>
          <w:lang/>
        </w:rPr>
        <w:t>Duplication of traceability requirements</w:t>
      </w:r>
      <w:r w:rsidR="00EF7E14">
        <w:rPr>
          <w:rFonts w:cs="Arial"/>
          <w:b/>
          <w:bCs/>
          <w:lang/>
        </w:rPr>
        <w:t xml:space="preserve"> and a</w:t>
      </w:r>
      <w:r w:rsidR="00EF7E14" w:rsidRPr="00DC32B6">
        <w:rPr>
          <w:rFonts w:cs="Arial"/>
          <w:b/>
          <w:bCs/>
          <w:lang/>
        </w:rPr>
        <w:t>dministrative and financial burdens</w:t>
      </w:r>
      <w:r w:rsidRPr="00DC32B6">
        <w:rPr>
          <w:rFonts w:cs="Arial"/>
          <w:b/>
          <w:bCs/>
          <w:lang/>
        </w:rPr>
        <w:t>:</w:t>
      </w:r>
      <w:r w:rsidRPr="00DC32B6">
        <w:rPr>
          <w:rFonts w:cs="Arial"/>
          <w:lang/>
        </w:rPr>
        <w:t xml:space="preserve"> RED introduces parallel traceability systems</w:t>
      </w:r>
      <w:r w:rsidR="003A47A7">
        <w:rPr>
          <w:rFonts w:cs="Arial"/>
          <w:lang/>
        </w:rPr>
        <w:t xml:space="preserve"> </w:t>
      </w:r>
      <w:r w:rsidR="003A47A7" w:rsidRPr="003A47A7">
        <w:rPr>
          <w:rFonts w:cs="Arial"/>
          <w:lang/>
        </w:rPr>
        <w:t xml:space="preserve">(IT, staff, multiple declarations, </w:t>
      </w:r>
      <w:r w:rsidR="00880562">
        <w:rPr>
          <w:rFonts w:cs="Arial"/>
          <w:lang/>
        </w:rPr>
        <w:t>audit systems</w:t>
      </w:r>
      <w:r w:rsidR="00E95DD9">
        <w:rPr>
          <w:rFonts w:cs="Arial"/>
          <w:lang/>
        </w:rPr>
        <w:t>, keep up-to-date mass balance</w:t>
      </w:r>
      <w:r w:rsidR="003A47A7" w:rsidRPr="003A47A7">
        <w:rPr>
          <w:rFonts w:cs="Arial"/>
          <w:lang/>
        </w:rPr>
        <w:t>)</w:t>
      </w:r>
      <w:r w:rsidRPr="00DC32B6">
        <w:rPr>
          <w:rFonts w:cs="Arial"/>
          <w:lang/>
        </w:rPr>
        <w:t xml:space="preserve"> on top of EU waste legislation, increasing compliance costs and creating potential inconsistencies.</w:t>
      </w:r>
    </w:p>
    <w:p w14:paraId="2854A321" w14:textId="30E3B337" w:rsidR="00DC32B6" w:rsidRPr="00DC32B6" w:rsidRDefault="00DC32B6" w:rsidP="00DC32B6">
      <w:pPr>
        <w:numPr>
          <w:ilvl w:val="0"/>
          <w:numId w:val="6"/>
        </w:numPr>
        <w:rPr>
          <w:rFonts w:cs="Arial"/>
          <w:lang/>
        </w:rPr>
      </w:pPr>
      <w:r w:rsidRPr="00DC32B6">
        <w:rPr>
          <w:rFonts w:cs="Arial"/>
          <w:b/>
          <w:bCs/>
          <w:lang/>
        </w:rPr>
        <w:t>Divergent interpretation by voluntary schemes:</w:t>
      </w:r>
      <w:r w:rsidRPr="00DC32B6">
        <w:rPr>
          <w:rFonts w:cs="Arial"/>
          <w:lang/>
        </w:rPr>
        <w:t xml:space="preserve"> Schemes like 2BSvs interpret RED requirements differently, leading to uncertainty and repeated audits when operators switch schemes.</w:t>
      </w:r>
      <w:r w:rsidR="003914A2">
        <w:rPr>
          <w:rFonts w:cs="Arial"/>
          <w:lang/>
        </w:rPr>
        <w:t xml:space="preserve"> </w:t>
      </w:r>
      <w:r w:rsidR="003A0B8A" w:rsidRPr="003A0B8A">
        <w:rPr>
          <w:rFonts w:cs="Arial"/>
        </w:rPr>
        <w:t>Moreover, requiring self-declarations from every waste owner places an administrative burden that not all actors are able to meet.</w:t>
      </w:r>
    </w:p>
    <w:p w14:paraId="0B05388F" w14:textId="5BFAA4B4" w:rsidR="00DC32B6" w:rsidRDefault="00DC32B6" w:rsidP="00BB32DE">
      <w:pPr>
        <w:numPr>
          <w:ilvl w:val="0"/>
          <w:numId w:val="6"/>
        </w:numPr>
        <w:rPr>
          <w:rFonts w:cs="Arial"/>
          <w:lang/>
        </w:rPr>
      </w:pPr>
      <w:r w:rsidRPr="00DC32B6">
        <w:rPr>
          <w:rFonts w:cs="Arial"/>
          <w:b/>
          <w:bCs/>
          <w:lang/>
        </w:rPr>
        <w:t>Regulatory uncertainty:</w:t>
      </w:r>
      <w:r w:rsidRPr="00DC32B6">
        <w:rPr>
          <w:rFonts w:cs="Arial"/>
          <w:lang/>
        </w:rPr>
        <w:t xml:space="preserve"> Transitional arrangements under RED III, interactions with EU ETS rules, and grandfathering clauses create temporary uncertainty for investors.</w:t>
      </w:r>
    </w:p>
    <w:p w14:paraId="55B6CE1D" w14:textId="77777777" w:rsidR="00A11099" w:rsidRDefault="00A11099" w:rsidP="00BB32DE">
      <w:pPr>
        <w:pStyle w:val="Titolo2"/>
        <w:rPr>
          <w:lang/>
        </w:rPr>
      </w:pPr>
    </w:p>
    <w:p w14:paraId="4CD25DB5" w14:textId="42C33436" w:rsidR="00DC32B6" w:rsidRPr="00DC32B6" w:rsidRDefault="00DC32B6" w:rsidP="00BB32DE">
      <w:pPr>
        <w:pStyle w:val="Titolo2"/>
        <w:rPr>
          <w:lang/>
        </w:rPr>
      </w:pPr>
      <w:r w:rsidRPr="00DC32B6">
        <w:rPr>
          <w:lang/>
        </w:rPr>
        <w:t>Recommendations for the Post-2030 Framework</w:t>
      </w:r>
    </w:p>
    <w:p w14:paraId="3D61B8ED" w14:textId="77777777" w:rsidR="00DC32B6" w:rsidRPr="00DC32B6" w:rsidRDefault="00DC32B6" w:rsidP="00DC32B6">
      <w:pPr>
        <w:rPr>
          <w:rFonts w:cs="Arial"/>
          <w:lang/>
        </w:rPr>
      </w:pPr>
      <w:r w:rsidRPr="00DC32B6">
        <w:rPr>
          <w:rFonts w:cs="Arial"/>
          <w:lang/>
        </w:rPr>
        <w:t>FEAD urges the EU to ensure that the post-2030 renewable energy framework is both effective and proportional, focusing on the following areas:</w:t>
      </w:r>
    </w:p>
    <w:p w14:paraId="69004392" w14:textId="77777777" w:rsidR="00DC32B6" w:rsidRPr="00DC32B6" w:rsidRDefault="00DC32B6" w:rsidP="00DC32B6">
      <w:pPr>
        <w:numPr>
          <w:ilvl w:val="0"/>
          <w:numId w:val="7"/>
        </w:numPr>
        <w:rPr>
          <w:rFonts w:cs="Arial"/>
          <w:lang/>
        </w:rPr>
      </w:pPr>
      <w:r w:rsidRPr="00DC32B6">
        <w:rPr>
          <w:rFonts w:cs="Arial"/>
          <w:b/>
          <w:bCs/>
          <w:lang/>
        </w:rPr>
        <w:t>Coherence with EU waste legislation:</w:t>
      </w:r>
      <w:r w:rsidRPr="00DC32B6">
        <w:rPr>
          <w:rFonts w:cs="Arial"/>
          <w:lang/>
        </w:rPr>
        <w:t xml:space="preserve"> Sustainability criteria and traceability requirements should build on existing waste law obligations rather than duplicating them. This ensures legal certainty and reduces administrative burden.</w:t>
      </w:r>
    </w:p>
    <w:p w14:paraId="4A2D3252" w14:textId="77777777" w:rsidR="00DC32B6" w:rsidRPr="00DC32B6" w:rsidRDefault="00DC32B6" w:rsidP="00DC32B6">
      <w:pPr>
        <w:numPr>
          <w:ilvl w:val="0"/>
          <w:numId w:val="7"/>
        </w:numPr>
        <w:rPr>
          <w:rFonts w:cs="Arial"/>
          <w:lang/>
        </w:rPr>
      </w:pPr>
      <w:r w:rsidRPr="00DC32B6">
        <w:rPr>
          <w:rFonts w:cs="Arial"/>
          <w:b/>
          <w:bCs/>
          <w:lang/>
        </w:rPr>
        <w:t>Simplification of certification:</w:t>
      </w:r>
    </w:p>
    <w:p w14:paraId="6CE180A4" w14:textId="77777777" w:rsidR="00E43842" w:rsidRDefault="00DC32B6" w:rsidP="00E43842">
      <w:pPr>
        <w:numPr>
          <w:ilvl w:val="1"/>
          <w:numId w:val="7"/>
        </w:numPr>
        <w:rPr>
          <w:rFonts w:cs="Arial"/>
          <w:lang/>
        </w:rPr>
      </w:pPr>
      <w:r w:rsidRPr="00DC32B6">
        <w:rPr>
          <w:rFonts w:cs="Arial"/>
          <w:lang/>
        </w:rPr>
        <w:t xml:space="preserve">Recognise sorting centres, RDF preparation units, and recycling facilities as points of origin, </w:t>
      </w:r>
      <w:r w:rsidR="00A4284F" w:rsidRPr="00A4284F">
        <w:rPr>
          <w:rFonts w:cs="Arial"/>
          <w:lang/>
        </w:rPr>
        <w:t>subjected to self-declaration requirement without the obligation to be certified.</w:t>
      </w:r>
    </w:p>
    <w:p w14:paraId="54AC80CB" w14:textId="22111821" w:rsidR="00E43842" w:rsidRPr="00E43842" w:rsidRDefault="00E43842" w:rsidP="00E43842">
      <w:pPr>
        <w:pStyle w:val="Paragrafoelenco"/>
        <w:numPr>
          <w:ilvl w:val="0"/>
          <w:numId w:val="7"/>
        </w:numPr>
        <w:rPr>
          <w:rFonts w:cs="Arial"/>
          <w:b/>
          <w:bCs/>
          <w:lang/>
        </w:rPr>
      </w:pPr>
      <w:r w:rsidRPr="00E43842">
        <w:rPr>
          <w:rFonts w:cs="Arial"/>
          <w:b/>
          <w:bCs/>
          <w:lang/>
        </w:rPr>
        <w:t>Introduce thresholds for small organic waste producers and collection operators supplying AD plants:</w:t>
      </w:r>
    </w:p>
    <w:p w14:paraId="78D5CC1A" w14:textId="7A842821" w:rsidR="00E43842" w:rsidRPr="00E43842" w:rsidRDefault="00E43842" w:rsidP="00E43842">
      <w:pPr>
        <w:pStyle w:val="Paragrafoelenco"/>
        <w:numPr>
          <w:ilvl w:val="0"/>
          <w:numId w:val="12"/>
        </w:numPr>
        <w:rPr>
          <w:rFonts w:cs="Arial"/>
          <w:lang/>
        </w:rPr>
      </w:pPr>
      <w:r w:rsidRPr="00E43842">
        <w:rPr>
          <w:rFonts w:cs="Arial"/>
          <w:lang/>
        </w:rPr>
        <w:t xml:space="preserve">Exempt small organic waste producers generating </w:t>
      </w:r>
      <w:r w:rsidR="00364710">
        <w:rPr>
          <w:rFonts w:cs="Arial"/>
          <w:lang/>
        </w:rPr>
        <w:t>&lt;</w:t>
      </w:r>
      <w:r w:rsidRPr="00E43842">
        <w:rPr>
          <w:rFonts w:cs="Arial"/>
          <w:lang/>
        </w:rPr>
        <w:t xml:space="preserve"> 50 tonnes per year from self-declaration obligations.</w:t>
      </w:r>
    </w:p>
    <w:p w14:paraId="3D03F1EA" w14:textId="33695739" w:rsidR="00E43842" w:rsidRPr="00E43842" w:rsidRDefault="00E43842" w:rsidP="00E43842">
      <w:pPr>
        <w:pStyle w:val="Paragrafoelenco"/>
        <w:numPr>
          <w:ilvl w:val="0"/>
          <w:numId w:val="12"/>
        </w:numPr>
        <w:rPr>
          <w:rFonts w:cs="Arial"/>
          <w:lang/>
        </w:rPr>
      </w:pPr>
      <w:r w:rsidRPr="00E43842">
        <w:rPr>
          <w:rFonts w:cs="Arial"/>
          <w:lang/>
        </w:rPr>
        <w:t xml:space="preserve">Consider small-sized waste collection operators supplying </w:t>
      </w:r>
      <w:r w:rsidR="00364710">
        <w:rPr>
          <w:rFonts w:cs="Arial"/>
          <w:lang/>
        </w:rPr>
        <w:t>&lt;</w:t>
      </w:r>
      <w:r w:rsidRPr="00E43842">
        <w:rPr>
          <w:rFonts w:cs="Arial"/>
          <w:lang/>
        </w:rPr>
        <w:t xml:space="preserve"> 1 000 tonnes per year as points of origin.</w:t>
      </w:r>
    </w:p>
    <w:p w14:paraId="5B646A35" w14:textId="74378812" w:rsidR="00E43842" w:rsidRPr="00364710" w:rsidRDefault="00E43842" w:rsidP="00364710">
      <w:pPr>
        <w:rPr>
          <w:rFonts w:cs="Arial"/>
          <w:lang/>
        </w:rPr>
      </w:pPr>
      <w:r w:rsidRPr="00364710">
        <w:rPr>
          <w:rFonts w:cs="Arial"/>
          <w:lang/>
        </w:rPr>
        <w:lastRenderedPageBreak/>
        <w:t>These measures are necessary because AD value chains often involve numerous small suppliers, making full self-declaration impractical and placing certification and economic stability of AD plants at risk.</w:t>
      </w:r>
    </w:p>
    <w:p w14:paraId="364B690B" w14:textId="77777777" w:rsidR="00E43842" w:rsidRPr="00364710" w:rsidRDefault="00E43842" w:rsidP="00364710">
      <w:pPr>
        <w:pStyle w:val="Paragrafoelenco"/>
        <w:numPr>
          <w:ilvl w:val="0"/>
          <w:numId w:val="7"/>
        </w:numPr>
        <w:rPr>
          <w:rFonts w:cs="Arial"/>
          <w:b/>
          <w:bCs/>
          <w:lang/>
        </w:rPr>
      </w:pPr>
      <w:r w:rsidRPr="00364710">
        <w:rPr>
          <w:rFonts w:cs="Arial"/>
          <w:b/>
          <w:bCs/>
          <w:lang/>
        </w:rPr>
        <w:t>Focus on waste streams contributing most to renewable energy production:</w:t>
      </w:r>
    </w:p>
    <w:p w14:paraId="06099328" w14:textId="7D1FAD2A" w:rsidR="00E43842" w:rsidRPr="00364710" w:rsidRDefault="00E43842" w:rsidP="00364710">
      <w:pPr>
        <w:pStyle w:val="Paragrafoelenco"/>
        <w:numPr>
          <w:ilvl w:val="1"/>
          <w:numId w:val="16"/>
        </w:numPr>
        <w:rPr>
          <w:rFonts w:cs="Arial"/>
          <w:lang/>
        </w:rPr>
      </w:pPr>
      <w:r w:rsidRPr="00364710">
        <w:rPr>
          <w:rFonts w:cs="Arial"/>
          <w:lang/>
        </w:rPr>
        <w:t>Exclude specific low-contribution waste streams from the RED certification scope, such as sewage sludge, which represent</w:t>
      </w:r>
      <w:r w:rsidR="00A55931">
        <w:rPr>
          <w:rFonts w:cs="Arial"/>
          <w:lang/>
        </w:rPr>
        <w:t>s</w:t>
      </w:r>
      <w:r w:rsidRPr="00364710">
        <w:rPr>
          <w:rFonts w:cs="Arial"/>
          <w:lang/>
        </w:rPr>
        <w:t xml:space="preserve"> a minor share of renewable energy output due to low calorific value or fossil carbon content.</w:t>
      </w:r>
    </w:p>
    <w:p w14:paraId="385F15F0" w14:textId="77777777" w:rsidR="00E43842" w:rsidRPr="0078122F" w:rsidRDefault="00E43842" w:rsidP="0078122F">
      <w:pPr>
        <w:pStyle w:val="Paragrafoelenco"/>
        <w:numPr>
          <w:ilvl w:val="0"/>
          <w:numId w:val="7"/>
        </w:numPr>
        <w:rPr>
          <w:rFonts w:cs="Arial"/>
          <w:b/>
          <w:bCs/>
          <w:lang/>
        </w:rPr>
      </w:pPr>
      <w:r w:rsidRPr="0078122F">
        <w:rPr>
          <w:rFonts w:cs="Arial"/>
          <w:b/>
          <w:bCs/>
          <w:lang/>
        </w:rPr>
        <w:t>Apply the exemption for municipal solid waste (MSW):</w:t>
      </w:r>
    </w:p>
    <w:p w14:paraId="32D958B4" w14:textId="1223A3F5" w:rsidR="00E43842" w:rsidRPr="00364710" w:rsidRDefault="00E43842" w:rsidP="00364710">
      <w:pPr>
        <w:pStyle w:val="Paragrafoelenco"/>
        <w:numPr>
          <w:ilvl w:val="1"/>
          <w:numId w:val="16"/>
        </w:numPr>
        <w:rPr>
          <w:rFonts w:cs="Arial"/>
          <w:lang/>
        </w:rPr>
      </w:pPr>
      <w:r w:rsidRPr="00364710">
        <w:rPr>
          <w:rFonts w:cs="Arial"/>
          <w:lang/>
        </w:rPr>
        <w:t>Recognise MSW streams as meeting sustainability and GHG savings criteria by default, in line with RED Article 29(10).</w:t>
      </w:r>
    </w:p>
    <w:p w14:paraId="089DBA94" w14:textId="77777777" w:rsidR="001A6D83" w:rsidRPr="001A6D83" w:rsidRDefault="00E43842" w:rsidP="009716FC">
      <w:pPr>
        <w:pStyle w:val="Paragrafoelenco"/>
        <w:numPr>
          <w:ilvl w:val="1"/>
          <w:numId w:val="16"/>
        </w:numPr>
        <w:rPr>
          <w:rFonts w:cs="Arial"/>
          <w:b/>
          <w:bCs/>
          <w:lang/>
        </w:rPr>
      </w:pPr>
      <w:r w:rsidRPr="001A6D83">
        <w:rPr>
          <w:rFonts w:cs="Arial"/>
          <w:lang/>
        </w:rPr>
        <w:t>Facilitate identification of exempt MSW streams using European waste codes to simplify compliance under voluntary schemes</w:t>
      </w:r>
      <w:r w:rsidR="001A6D83">
        <w:rPr>
          <w:rFonts w:cs="Arial"/>
          <w:lang/>
        </w:rPr>
        <w:t>.</w:t>
      </w:r>
    </w:p>
    <w:p w14:paraId="68FF7053" w14:textId="0FC16072" w:rsidR="00E43842" w:rsidRPr="001A6D83" w:rsidRDefault="00E43842" w:rsidP="00364710">
      <w:pPr>
        <w:pStyle w:val="Paragrafoelenco"/>
        <w:numPr>
          <w:ilvl w:val="0"/>
          <w:numId w:val="7"/>
        </w:numPr>
        <w:rPr>
          <w:rFonts w:cs="Arial"/>
          <w:b/>
          <w:bCs/>
          <w:lang/>
        </w:rPr>
      </w:pPr>
      <w:r w:rsidRPr="001A6D83">
        <w:rPr>
          <w:rFonts w:cs="Arial"/>
          <w:b/>
          <w:bCs/>
          <w:lang/>
        </w:rPr>
        <w:t>Define exemption thresholds for small industrial units using liquid waste:</w:t>
      </w:r>
    </w:p>
    <w:p w14:paraId="2A850934" w14:textId="5A5E45D2" w:rsidR="00E43842" w:rsidRPr="00364710" w:rsidRDefault="00E43842" w:rsidP="00364710">
      <w:pPr>
        <w:pStyle w:val="Paragrafoelenco"/>
        <w:numPr>
          <w:ilvl w:val="1"/>
          <w:numId w:val="18"/>
        </w:numPr>
        <w:rPr>
          <w:rFonts w:cs="Arial"/>
          <w:lang/>
        </w:rPr>
      </w:pPr>
      <w:r w:rsidRPr="00364710">
        <w:rPr>
          <w:rFonts w:cs="Arial"/>
          <w:lang/>
        </w:rPr>
        <w:t>Revise RED Article 29 to extend total rated thermal input thresholds to small-sized industrial units using liquid waste, ensuring a level playing field with gaseous and solid biomass fuels.</w:t>
      </w:r>
    </w:p>
    <w:p w14:paraId="4CBEDCB1" w14:textId="77777777" w:rsidR="00E43842" w:rsidRPr="00364710" w:rsidRDefault="00E43842" w:rsidP="00364710">
      <w:pPr>
        <w:pStyle w:val="Paragrafoelenco"/>
        <w:numPr>
          <w:ilvl w:val="0"/>
          <w:numId w:val="7"/>
        </w:numPr>
        <w:rPr>
          <w:rFonts w:cs="Arial"/>
          <w:b/>
          <w:bCs/>
          <w:lang/>
        </w:rPr>
      </w:pPr>
      <w:r w:rsidRPr="00364710">
        <w:rPr>
          <w:rFonts w:cs="Arial"/>
          <w:b/>
          <w:bCs/>
          <w:lang/>
        </w:rPr>
        <w:t>Consider hazardous waste (HW) as recycled carbon-based waste not subject to RED requirements:</w:t>
      </w:r>
    </w:p>
    <w:p w14:paraId="5125531B" w14:textId="5F7E50B7" w:rsidR="00E43842" w:rsidRPr="00364710" w:rsidRDefault="00E43842" w:rsidP="00364710">
      <w:pPr>
        <w:pStyle w:val="Paragrafoelenco"/>
        <w:numPr>
          <w:ilvl w:val="1"/>
          <w:numId w:val="17"/>
        </w:numPr>
        <w:rPr>
          <w:rFonts w:cs="Arial"/>
          <w:lang/>
        </w:rPr>
      </w:pPr>
      <w:r w:rsidRPr="00364710">
        <w:rPr>
          <w:rFonts w:cs="Arial"/>
          <w:lang/>
        </w:rPr>
        <w:t>Most HW streams originate from the chemical and petrochemical industries and consist mainly of fossil carbon (e.g., solvents, fluorinated gases).</w:t>
      </w:r>
    </w:p>
    <w:p w14:paraId="2ABB0346" w14:textId="306F3E33" w:rsidR="00EA35A8" w:rsidRDefault="00E43842" w:rsidP="00364710">
      <w:pPr>
        <w:pStyle w:val="Paragrafoelenco"/>
        <w:numPr>
          <w:ilvl w:val="1"/>
          <w:numId w:val="17"/>
        </w:numPr>
        <w:rPr>
          <w:rFonts w:cs="Arial"/>
          <w:lang/>
        </w:rPr>
      </w:pPr>
      <w:r w:rsidRPr="00364710">
        <w:rPr>
          <w:rFonts w:cs="Arial"/>
          <w:lang/>
        </w:rPr>
        <w:t>HW represents only 5.3% of the 2.2 billion tonnes of waste generated in the EU-27 in 2022, with only a fraction treated in Waste-to-Energy plants, contributing minimally to renewable energy production.</w:t>
      </w:r>
    </w:p>
    <w:p w14:paraId="596399DF" w14:textId="67547F1D" w:rsidR="0061494E" w:rsidRPr="0061494E" w:rsidRDefault="00D12DCB" w:rsidP="0061494E">
      <w:pPr>
        <w:pStyle w:val="Paragrafoelenco"/>
        <w:numPr>
          <w:ilvl w:val="0"/>
          <w:numId w:val="7"/>
        </w:numPr>
        <w:rPr>
          <w:rFonts w:cs="Arial"/>
          <w:lang/>
        </w:rPr>
      </w:pPr>
      <w:r w:rsidRPr="0061494E">
        <w:rPr>
          <w:rFonts w:cs="Arial"/>
          <w:b/>
          <w:bCs/>
          <w:lang/>
        </w:rPr>
        <w:t xml:space="preserve">Review existing incentive schemes </w:t>
      </w:r>
      <w:r w:rsidR="0061494E">
        <w:rPr>
          <w:rFonts w:cs="Arial"/>
          <w:b/>
          <w:bCs/>
          <w:lang/>
        </w:rPr>
        <w:t>for biogas</w:t>
      </w:r>
      <w:r w:rsidR="009F7B17">
        <w:rPr>
          <w:rFonts w:cs="Arial"/>
          <w:b/>
          <w:bCs/>
          <w:lang/>
        </w:rPr>
        <w:t xml:space="preserve"> and biomethane</w:t>
      </w:r>
      <w:r w:rsidR="0061494E">
        <w:rPr>
          <w:rFonts w:cs="Arial"/>
          <w:b/>
          <w:bCs/>
          <w:lang/>
        </w:rPr>
        <w:t xml:space="preserve"> production </w:t>
      </w:r>
      <w:r w:rsidRPr="0061494E">
        <w:rPr>
          <w:rFonts w:cs="Arial"/>
          <w:b/>
          <w:bCs/>
          <w:lang/>
        </w:rPr>
        <w:t>in a technology-neutral manner</w:t>
      </w:r>
      <w:r w:rsidRPr="0061494E">
        <w:rPr>
          <w:rFonts w:cs="Arial"/>
          <w:lang/>
        </w:rPr>
        <w:t>:</w:t>
      </w:r>
    </w:p>
    <w:p w14:paraId="5238C727" w14:textId="70F72A2F" w:rsidR="00D12DCB" w:rsidRPr="0061494E" w:rsidRDefault="0061494E" w:rsidP="00D12DCB">
      <w:pPr>
        <w:pStyle w:val="Paragrafoelenco"/>
        <w:numPr>
          <w:ilvl w:val="0"/>
          <w:numId w:val="19"/>
        </w:numPr>
        <w:rPr>
          <w:rFonts w:cs="Arial"/>
          <w:lang/>
        </w:rPr>
      </w:pPr>
      <w:r>
        <w:rPr>
          <w:rFonts w:cs="Arial"/>
          <w:lang/>
        </w:rPr>
        <w:t>P</w:t>
      </w:r>
      <w:r w:rsidR="00D12DCB" w:rsidRPr="0061494E">
        <w:rPr>
          <w:rFonts w:cs="Arial"/>
          <w:lang/>
        </w:rPr>
        <w:t xml:space="preserve">articularly those approaching expiry, </w:t>
      </w:r>
      <w:r w:rsidRPr="0061494E">
        <w:rPr>
          <w:rFonts w:cs="Arial"/>
          <w:lang/>
        </w:rPr>
        <w:t>to address the need to structurally strengthen demand for biomethane while ensuring producers have stable and adequate revenues to cover production costs beyond the incentives period</w:t>
      </w:r>
      <w:r>
        <w:rPr>
          <w:rFonts w:cs="Arial"/>
          <w:lang/>
        </w:rPr>
        <w:t>.</w:t>
      </w:r>
    </w:p>
    <w:p w14:paraId="3BA6ACC5" w14:textId="77777777" w:rsidR="00D12DCB" w:rsidRPr="00D12DCB" w:rsidRDefault="00D12DCB" w:rsidP="00D12DCB">
      <w:pPr>
        <w:pStyle w:val="Paragrafoelenco"/>
        <w:rPr>
          <w:rFonts w:cs="Arial"/>
          <w:lang/>
        </w:rPr>
      </w:pPr>
    </w:p>
    <w:p w14:paraId="72C4FC87" w14:textId="2F9D670F" w:rsidR="008419BF" w:rsidRPr="0061494E" w:rsidRDefault="0061494E" w:rsidP="00B75DC0">
      <w:pPr>
        <w:rPr>
          <w:rFonts w:cs="Arial"/>
        </w:rPr>
      </w:pPr>
      <w:r>
        <w:rPr>
          <w:rFonts w:cs="Arial"/>
          <w:lang/>
        </w:rPr>
        <w:t>FEAD believes that a</w:t>
      </w:r>
      <w:r w:rsidR="00DC32B6" w:rsidRPr="001543A1">
        <w:rPr>
          <w:rFonts w:cs="Arial"/>
          <w:lang/>
        </w:rPr>
        <w:t xml:space="preserve"> harmonised, proportionate approach will advance the 2040 climate target, enhance EU industrial competitiveness, and maintain high sustainability standards</w:t>
      </w:r>
      <w:r>
        <w:rPr>
          <w:rFonts w:cs="Arial"/>
          <w:lang/>
        </w:rPr>
        <w:t xml:space="preserve"> and remains committed to further dialogues to contribute shaping the r</w:t>
      </w:r>
      <w:r w:rsidRPr="0061494E">
        <w:rPr>
          <w:rFonts w:cs="Arial"/>
          <w:lang/>
        </w:rPr>
        <w:t xml:space="preserve">enewable energy legal framework </w:t>
      </w:r>
      <w:r>
        <w:rPr>
          <w:rFonts w:cs="Arial"/>
          <w:lang/>
        </w:rPr>
        <w:t>in the next decade.</w:t>
      </w:r>
    </w:p>
    <w:p w14:paraId="5110F998" w14:textId="17D2741B" w:rsidR="000F5E98" w:rsidRDefault="00000000" w:rsidP="00414494">
      <w:pPr>
        <w:rPr>
          <w:rStyle w:val="Aucun"/>
          <w:rFonts w:cs="Arial"/>
          <w:lang w:val="en-US"/>
        </w:rPr>
      </w:pPr>
      <w:r>
        <w:rPr>
          <w:rStyle w:val="Aucun"/>
          <w:rFonts w:cs="Arial"/>
          <w:noProof/>
          <w:lang w:val="en-US"/>
        </w:rPr>
        <w:lastRenderedPageBreak/>
        <w:pict w14:anchorId="7FBCE9B9">
          <v:rect id="_x0000_i1025" style="width:444.55pt;height:.05pt" o:hrpct="985" o:hralign="center" o:hrstd="t" o:hr="t" fillcolor="#a0a0a0" stroked="f"/>
        </w:pict>
      </w:r>
    </w:p>
    <w:p w14:paraId="7FE9A1C7" w14:textId="75CA1526" w:rsidR="000F5E98" w:rsidRPr="00414494" w:rsidRDefault="00414494" w:rsidP="00241B04">
      <w:pPr>
        <w:ind w:left="142" w:right="237"/>
        <w:rPr>
          <w:rFonts w:cs="Arial"/>
          <w:iCs/>
          <w:color w:val="00A7E1" w:themeColor="accent1"/>
          <w:sz w:val="20"/>
        </w:rPr>
      </w:pPr>
      <w:r w:rsidRPr="00414494">
        <w:rPr>
          <w:rFonts w:cs="Arial"/>
          <w:b/>
          <w:iCs/>
          <w:color w:val="00A7E1" w:themeColor="accent1"/>
          <w:sz w:val="20"/>
        </w:rPr>
        <w:t>FEAD is the European Waste Management Association, representing the private waste and resource management industry across Europe</w:t>
      </w:r>
      <w:r w:rsidRPr="00414494">
        <w:rPr>
          <w:rFonts w:cs="Arial"/>
          <w:iCs/>
          <w:color w:val="00A7E1" w:themeColor="accent1"/>
          <w:sz w:val="20"/>
        </w:rPr>
        <w:t>, including 2</w:t>
      </w:r>
      <w:r w:rsidR="004859BB">
        <w:rPr>
          <w:rFonts w:cs="Arial"/>
          <w:iCs/>
          <w:color w:val="00A7E1" w:themeColor="accent1"/>
          <w:sz w:val="20"/>
        </w:rPr>
        <w:t>1</w:t>
      </w:r>
      <w:r w:rsidRPr="00414494">
        <w:rPr>
          <w:rFonts w:cs="Arial"/>
          <w:iCs/>
          <w:color w:val="00A7E1" w:themeColor="accent1"/>
          <w:sz w:val="20"/>
        </w:rPr>
        <w:t xml:space="preserve"> national waste management federations and 3,000 waste management companies. Private waste management companies operate</w:t>
      </w:r>
      <w:r w:rsidRPr="00414494">
        <w:rPr>
          <w:rFonts w:cs="Arial"/>
          <w:iCs/>
          <w:color w:val="00A7E1" w:themeColor="accent1"/>
          <w:spacing w:val="-14"/>
          <w:sz w:val="20"/>
        </w:rPr>
        <w:t xml:space="preserve"> </w:t>
      </w:r>
      <w:r w:rsidRPr="00414494">
        <w:rPr>
          <w:rFonts w:cs="Arial"/>
          <w:iCs/>
          <w:color w:val="00A7E1" w:themeColor="accent1"/>
          <w:sz w:val="20"/>
        </w:rPr>
        <w:t>in</w:t>
      </w:r>
      <w:r w:rsidRPr="00414494">
        <w:rPr>
          <w:rFonts w:cs="Arial"/>
          <w:iCs/>
          <w:color w:val="00A7E1" w:themeColor="accent1"/>
          <w:spacing w:val="-13"/>
          <w:sz w:val="20"/>
        </w:rPr>
        <w:t xml:space="preserve"> </w:t>
      </w:r>
      <w:r w:rsidRPr="00414494">
        <w:rPr>
          <w:rFonts w:cs="Arial"/>
          <w:iCs/>
          <w:color w:val="00A7E1" w:themeColor="accent1"/>
          <w:sz w:val="20"/>
        </w:rPr>
        <w:t>60%</w:t>
      </w:r>
      <w:r w:rsidRPr="00414494">
        <w:rPr>
          <w:rFonts w:cs="Arial"/>
          <w:iCs/>
          <w:color w:val="00A7E1" w:themeColor="accent1"/>
          <w:spacing w:val="-12"/>
          <w:sz w:val="20"/>
        </w:rPr>
        <w:t xml:space="preserve"> </w:t>
      </w:r>
      <w:r w:rsidRPr="00414494">
        <w:rPr>
          <w:rFonts w:cs="Arial"/>
          <w:iCs/>
          <w:color w:val="00A7E1" w:themeColor="accent1"/>
          <w:sz w:val="20"/>
        </w:rPr>
        <w:t>of</w:t>
      </w:r>
      <w:r w:rsidRPr="00414494">
        <w:rPr>
          <w:rFonts w:cs="Arial"/>
          <w:iCs/>
          <w:color w:val="00A7E1" w:themeColor="accent1"/>
          <w:spacing w:val="-13"/>
          <w:sz w:val="20"/>
        </w:rPr>
        <w:t xml:space="preserve"> </w:t>
      </w:r>
      <w:r w:rsidRPr="00414494">
        <w:rPr>
          <w:rFonts w:cs="Arial"/>
          <w:iCs/>
          <w:color w:val="00A7E1" w:themeColor="accent1"/>
          <w:sz w:val="20"/>
        </w:rPr>
        <w:t>municipal</w:t>
      </w:r>
      <w:r w:rsidRPr="00414494">
        <w:rPr>
          <w:rFonts w:cs="Arial"/>
          <w:iCs/>
          <w:color w:val="00A7E1" w:themeColor="accent1"/>
          <w:spacing w:val="-12"/>
          <w:sz w:val="20"/>
        </w:rPr>
        <w:t xml:space="preserve"> </w:t>
      </w:r>
      <w:r w:rsidRPr="00414494">
        <w:rPr>
          <w:rFonts w:cs="Arial"/>
          <w:iCs/>
          <w:color w:val="00A7E1" w:themeColor="accent1"/>
          <w:sz w:val="20"/>
        </w:rPr>
        <w:t>waste</w:t>
      </w:r>
      <w:r w:rsidRPr="00414494">
        <w:rPr>
          <w:rFonts w:cs="Arial"/>
          <w:iCs/>
          <w:color w:val="00A7E1" w:themeColor="accent1"/>
          <w:spacing w:val="-14"/>
          <w:sz w:val="20"/>
        </w:rPr>
        <w:t xml:space="preserve"> </w:t>
      </w:r>
      <w:r w:rsidRPr="00414494">
        <w:rPr>
          <w:rFonts w:cs="Arial"/>
          <w:iCs/>
          <w:color w:val="00A7E1" w:themeColor="accent1"/>
          <w:sz w:val="20"/>
        </w:rPr>
        <w:t>markets</w:t>
      </w:r>
      <w:r w:rsidRPr="00414494">
        <w:rPr>
          <w:rFonts w:cs="Arial"/>
          <w:iCs/>
          <w:color w:val="00A7E1" w:themeColor="accent1"/>
          <w:spacing w:val="-14"/>
          <w:sz w:val="20"/>
        </w:rPr>
        <w:t xml:space="preserve"> </w:t>
      </w:r>
      <w:r w:rsidRPr="00414494">
        <w:rPr>
          <w:rFonts w:cs="Arial"/>
          <w:iCs/>
          <w:color w:val="00A7E1" w:themeColor="accent1"/>
          <w:sz w:val="20"/>
        </w:rPr>
        <w:t>in</w:t>
      </w:r>
      <w:r w:rsidRPr="00414494">
        <w:rPr>
          <w:rFonts w:cs="Arial"/>
          <w:iCs/>
          <w:color w:val="00A7E1" w:themeColor="accent1"/>
          <w:spacing w:val="-12"/>
          <w:sz w:val="20"/>
        </w:rPr>
        <w:t xml:space="preserve"> </w:t>
      </w:r>
      <w:r w:rsidRPr="00414494">
        <w:rPr>
          <w:rFonts w:cs="Arial"/>
          <w:iCs/>
          <w:color w:val="00A7E1" w:themeColor="accent1"/>
          <w:sz w:val="20"/>
        </w:rPr>
        <w:t>Europe</w:t>
      </w:r>
      <w:r w:rsidRPr="00414494">
        <w:rPr>
          <w:rFonts w:cs="Arial"/>
          <w:iCs/>
          <w:color w:val="00A7E1" w:themeColor="accent1"/>
          <w:spacing w:val="-12"/>
          <w:sz w:val="20"/>
        </w:rPr>
        <w:t xml:space="preserve"> </w:t>
      </w:r>
      <w:r w:rsidRPr="00414494">
        <w:rPr>
          <w:rFonts w:cs="Arial"/>
          <w:iCs/>
          <w:color w:val="00A7E1" w:themeColor="accent1"/>
          <w:sz w:val="20"/>
        </w:rPr>
        <w:t>and</w:t>
      </w:r>
      <w:r w:rsidRPr="00414494">
        <w:rPr>
          <w:rFonts w:cs="Arial"/>
          <w:iCs/>
          <w:color w:val="00A7E1" w:themeColor="accent1"/>
          <w:spacing w:val="-12"/>
          <w:sz w:val="20"/>
        </w:rPr>
        <w:t xml:space="preserve"> </w:t>
      </w:r>
      <w:r w:rsidRPr="00414494">
        <w:rPr>
          <w:rFonts w:cs="Arial"/>
          <w:iCs/>
          <w:color w:val="00A7E1" w:themeColor="accent1"/>
          <w:sz w:val="20"/>
        </w:rPr>
        <w:t>in</w:t>
      </w:r>
      <w:r w:rsidRPr="00414494">
        <w:rPr>
          <w:rFonts w:cs="Arial"/>
          <w:iCs/>
          <w:color w:val="00A7E1" w:themeColor="accent1"/>
          <w:spacing w:val="-12"/>
          <w:sz w:val="20"/>
        </w:rPr>
        <w:t xml:space="preserve"> </w:t>
      </w:r>
      <w:r w:rsidRPr="00414494">
        <w:rPr>
          <w:rFonts w:cs="Arial"/>
          <w:iCs/>
          <w:color w:val="00A7E1" w:themeColor="accent1"/>
          <w:sz w:val="20"/>
        </w:rPr>
        <w:t>75%</w:t>
      </w:r>
      <w:r w:rsidRPr="00414494">
        <w:rPr>
          <w:rFonts w:cs="Arial"/>
          <w:iCs/>
          <w:color w:val="00A7E1" w:themeColor="accent1"/>
          <w:spacing w:val="-12"/>
          <w:sz w:val="20"/>
        </w:rPr>
        <w:t xml:space="preserve"> </w:t>
      </w:r>
      <w:r w:rsidRPr="00414494">
        <w:rPr>
          <w:rFonts w:cs="Arial"/>
          <w:iCs/>
          <w:color w:val="00A7E1" w:themeColor="accent1"/>
          <w:sz w:val="20"/>
        </w:rPr>
        <w:t>of</w:t>
      </w:r>
      <w:r w:rsidRPr="00414494">
        <w:rPr>
          <w:rFonts w:cs="Arial"/>
          <w:iCs/>
          <w:color w:val="00A7E1" w:themeColor="accent1"/>
          <w:spacing w:val="-13"/>
          <w:sz w:val="20"/>
        </w:rPr>
        <w:t xml:space="preserve"> </w:t>
      </w:r>
      <w:r w:rsidRPr="00414494">
        <w:rPr>
          <w:rFonts w:cs="Arial"/>
          <w:iCs/>
          <w:color w:val="00A7E1" w:themeColor="accent1"/>
          <w:sz w:val="20"/>
        </w:rPr>
        <w:t>industrial</w:t>
      </w:r>
      <w:r w:rsidRPr="00414494">
        <w:rPr>
          <w:rFonts w:cs="Arial"/>
          <w:iCs/>
          <w:color w:val="00A7E1" w:themeColor="accent1"/>
          <w:spacing w:val="-12"/>
          <w:sz w:val="20"/>
        </w:rPr>
        <w:t xml:space="preserve"> </w:t>
      </w:r>
      <w:r w:rsidRPr="00414494">
        <w:rPr>
          <w:rFonts w:cs="Arial"/>
          <w:iCs/>
          <w:color w:val="00A7E1" w:themeColor="accent1"/>
          <w:sz w:val="20"/>
        </w:rPr>
        <w:t>and</w:t>
      </w:r>
      <w:r w:rsidRPr="00414494">
        <w:rPr>
          <w:rFonts w:cs="Arial"/>
          <w:iCs/>
          <w:color w:val="00A7E1" w:themeColor="accent1"/>
          <w:spacing w:val="-12"/>
          <w:sz w:val="20"/>
        </w:rPr>
        <w:t xml:space="preserve"> </w:t>
      </w:r>
      <w:r w:rsidRPr="00414494">
        <w:rPr>
          <w:rFonts w:cs="Arial"/>
          <w:iCs/>
          <w:color w:val="00A7E1" w:themeColor="accent1"/>
          <w:sz w:val="20"/>
        </w:rPr>
        <w:t>commercial</w:t>
      </w:r>
      <w:r w:rsidRPr="00414494">
        <w:rPr>
          <w:rFonts w:cs="Arial"/>
          <w:iCs/>
          <w:color w:val="00A7E1" w:themeColor="accent1"/>
          <w:spacing w:val="-12"/>
          <w:sz w:val="20"/>
        </w:rPr>
        <w:t xml:space="preserve"> </w:t>
      </w:r>
      <w:r w:rsidRPr="00414494">
        <w:rPr>
          <w:rFonts w:cs="Arial"/>
          <w:iCs/>
          <w:color w:val="00A7E1" w:themeColor="accent1"/>
          <w:sz w:val="20"/>
        </w:rPr>
        <w:t>waste. This means more</w:t>
      </w:r>
      <w:r w:rsidRPr="00414494">
        <w:rPr>
          <w:rFonts w:cs="Arial"/>
          <w:iCs/>
          <w:color w:val="00A7E1" w:themeColor="accent1"/>
          <w:spacing w:val="-2"/>
          <w:sz w:val="20"/>
        </w:rPr>
        <w:t xml:space="preserve"> </w:t>
      </w:r>
      <w:r w:rsidRPr="00414494">
        <w:rPr>
          <w:rFonts w:cs="Arial"/>
          <w:iCs/>
          <w:color w:val="00A7E1" w:themeColor="accent1"/>
          <w:sz w:val="20"/>
        </w:rPr>
        <w:t>than 500,000 local jobs, fuelling €5 billion of investments into</w:t>
      </w:r>
      <w:r w:rsidRPr="00414494">
        <w:rPr>
          <w:rFonts w:cs="Arial"/>
          <w:iCs/>
          <w:color w:val="00A7E1" w:themeColor="accent1"/>
          <w:spacing w:val="-2"/>
          <w:sz w:val="20"/>
        </w:rPr>
        <w:t xml:space="preserve"> </w:t>
      </w:r>
      <w:r w:rsidRPr="00414494">
        <w:rPr>
          <w:rFonts w:cs="Arial"/>
          <w:iCs/>
          <w:color w:val="00A7E1" w:themeColor="accent1"/>
          <w:sz w:val="20"/>
        </w:rPr>
        <w:t xml:space="preserve">the economy every year. For more information, please contact: </w:t>
      </w:r>
      <w:hyperlink r:id="rId11">
        <w:r w:rsidRPr="00414494">
          <w:rPr>
            <w:rFonts w:cs="Arial"/>
            <w:iCs/>
            <w:color w:val="00A7E1" w:themeColor="accent1"/>
            <w:sz w:val="20"/>
            <w:u w:val="single" w:color="00A9C8"/>
          </w:rPr>
          <w:t>info@fead.be</w:t>
        </w:r>
      </w:hyperlink>
    </w:p>
    <w:p w14:paraId="2B47D89C" w14:textId="71B1F140" w:rsidR="009E39CA" w:rsidRPr="00A25282" w:rsidRDefault="00000000" w:rsidP="00A25282">
      <w:pPr>
        <w:rPr>
          <w:rFonts w:cs="Arial"/>
          <w:noProof/>
          <w:lang w:val="en-US"/>
        </w:rPr>
      </w:pPr>
      <w:r>
        <w:rPr>
          <w:rStyle w:val="Aucun"/>
          <w:rFonts w:cs="Arial"/>
          <w:noProof/>
          <w:lang w:val="en-US"/>
        </w:rPr>
        <w:pict w14:anchorId="296194AF">
          <v:rect id="_x0000_i1026" style="width:444.55pt;height:.05pt" o:hrpct="985" o:hralign="center" o:hrstd="t" o:hr="t" fillcolor="#a0a0a0" stroked="f"/>
        </w:pict>
      </w:r>
    </w:p>
    <w:sectPr w:rsidR="009E39CA" w:rsidRPr="00A25282" w:rsidSect="000F5E9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960" w:right="1440" w:bottom="1115" w:left="1440" w:header="708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A6799" w14:textId="77777777" w:rsidR="008A77B1" w:rsidRDefault="008A77B1" w:rsidP="00DC1202">
      <w:pPr>
        <w:spacing w:line="240" w:lineRule="auto"/>
      </w:pPr>
      <w:r>
        <w:separator/>
      </w:r>
    </w:p>
  </w:endnote>
  <w:endnote w:type="continuationSeparator" w:id="0">
    <w:p w14:paraId="173A841C" w14:textId="77777777" w:rsidR="008A77B1" w:rsidRDefault="008A77B1" w:rsidP="00DC12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1378360225"/>
      <w:docPartObj>
        <w:docPartGallery w:val="Page Numbers (Bottom of Page)"/>
        <w:docPartUnique/>
      </w:docPartObj>
    </w:sdtPr>
    <w:sdtContent>
      <w:p w14:paraId="49561ECB" w14:textId="71D6FFE9" w:rsidR="00F16997" w:rsidRDefault="00F16997" w:rsidP="005F0CE9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789F51CE" w14:textId="77777777" w:rsidR="00F16997" w:rsidRDefault="00F16997" w:rsidP="005F0CE9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1013610907"/>
      <w:docPartObj>
        <w:docPartGallery w:val="Page Numbers (Bottom of Page)"/>
        <w:docPartUnique/>
      </w:docPartObj>
    </w:sdtPr>
    <w:sdtContent>
      <w:p w14:paraId="13569BE5" w14:textId="41C2A283" w:rsidR="00F16997" w:rsidRPr="005F0CE9" w:rsidRDefault="00F16997" w:rsidP="005F0CE9">
        <w:pPr>
          <w:pStyle w:val="Pidipagina"/>
          <w:framePr w:wrap="none" w:vAnchor="text" w:hAnchor="margin" w:xAlign="right" w:y="1"/>
          <w:rPr>
            <w:rStyle w:val="Numeropagina"/>
            <w:lang w:val="fr-BE"/>
          </w:rPr>
        </w:pPr>
        <w:r>
          <w:rPr>
            <w:rStyle w:val="Numeropagina"/>
          </w:rPr>
          <w:fldChar w:fldCharType="begin"/>
        </w:r>
        <w:r w:rsidRPr="00104B5C">
          <w:rPr>
            <w:rStyle w:val="Numeropagina"/>
            <w:lang w:val="fr-BE"/>
          </w:rPr>
          <w:instrText xml:space="preserve"> PAGE </w:instrText>
        </w:r>
        <w:r>
          <w:rPr>
            <w:rStyle w:val="Numeropagina"/>
          </w:rPr>
          <w:fldChar w:fldCharType="separate"/>
        </w:r>
        <w:r w:rsidRPr="005F0CE9">
          <w:rPr>
            <w:rStyle w:val="Numeropagina"/>
            <w:noProof/>
            <w:lang w:val="fr-BE"/>
          </w:rPr>
          <w:t>1</w:t>
        </w:r>
        <w:r>
          <w:rPr>
            <w:rStyle w:val="Numeropagina"/>
          </w:rPr>
          <w:fldChar w:fldCharType="end"/>
        </w:r>
      </w:p>
    </w:sdtContent>
  </w:sdt>
  <w:p w14:paraId="3E618D97" w14:textId="35A8250F" w:rsidR="005F0CE9" w:rsidRPr="005F0CE9" w:rsidRDefault="005F0CE9" w:rsidP="005F0CE9">
    <w:pPr>
      <w:jc w:val="center"/>
      <w:rPr>
        <w:rFonts w:ascii="Helvetica" w:eastAsia="Times New Roman" w:hAnsi="Helvetica" w:cs="Times New Roman"/>
        <w:sz w:val="16"/>
        <w:szCs w:val="16"/>
        <w:lang w:val="fr-BE" w:eastAsia="en-GB"/>
      </w:rPr>
    </w:pPr>
    <w:r w:rsidRPr="00FE74F2">
      <w:rPr>
        <w:rFonts w:ascii="Helvetica" w:hAnsi="Helvetica"/>
        <w:sz w:val="16"/>
        <w:szCs w:val="16"/>
        <w:lang w:val="fr-BE"/>
      </w:rPr>
      <w:t xml:space="preserve">FEAD </w:t>
    </w:r>
    <w:proofErr w:type="gramStart"/>
    <w:r w:rsidRPr="00FE74F2">
      <w:rPr>
        <w:rFonts w:ascii="Helvetica" w:hAnsi="Helvetica"/>
        <w:sz w:val="16"/>
        <w:szCs w:val="16"/>
        <w:lang w:val="fr-BE"/>
      </w:rPr>
      <w:t xml:space="preserve">AISBL  </w:t>
    </w:r>
    <w:r w:rsidRPr="00FE74F2">
      <w:rPr>
        <w:rFonts w:ascii="Helvetica" w:hAnsi="Helvetica"/>
        <w:b/>
        <w:bCs/>
        <w:sz w:val="16"/>
        <w:szCs w:val="16"/>
        <w:lang w:val="fr-BE"/>
      </w:rPr>
      <w:t>|</w:t>
    </w:r>
    <w:proofErr w:type="gramEnd"/>
    <w:r w:rsidRPr="00FE74F2">
      <w:rPr>
        <w:rFonts w:ascii="Helvetica" w:hAnsi="Helvetica"/>
        <w:sz w:val="16"/>
        <w:szCs w:val="16"/>
        <w:lang w:val="fr-BE"/>
      </w:rPr>
      <w:t xml:space="preserve">  Rue de la Science 23, 1040 </w:t>
    </w:r>
    <w:proofErr w:type="gramStart"/>
    <w:r w:rsidRPr="00FE74F2">
      <w:rPr>
        <w:rFonts w:ascii="Helvetica" w:hAnsi="Helvetica"/>
        <w:sz w:val="16"/>
        <w:szCs w:val="16"/>
        <w:lang w:val="fr-BE"/>
      </w:rPr>
      <w:t xml:space="preserve">Brussels  </w:t>
    </w:r>
    <w:r w:rsidRPr="00FE74F2">
      <w:rPr>
        <w:rFonts w:ascii="Helvetica" w:hAnsi="Helvetica"/>
        <w:b/>
        <w:bCs/>
        <w:color w:val="EB6723" w:themeColor="accent4"/>
        <w:sz w:val="16"/>
        <w:szCs w:val="16"/>
        <w:lang w:val="fr-BE"/>
      </w:rPr>
      <w:t>|</w:t>
    </w:r>
    <w:proofErr w:type="gramEnd"/>
    <w:r w:rsidRPr="00FE74F2">
      <w:rPr>
        <w:rFonts w:ascii="Helvetica" w:hAnsi="Helvetica"/>
        <w:color w:val="FFFFFF" w:themeColor="background1"/>
        <w:sz w:val="16"/>
        <w:szCs w:val="16"/>
        <w:lang w:val="fr-BE"/>
      </w:rPr>
      <w:t xml:space="preserve"> </w:t>
    </w:r>
    <w:r w:rsidRPr="00FE74F2">
      <w:rPr>
        <w:rFonts w:ascii="Helvetica" w:hAnsi="Helvetica"/>
        <w:sz w:val="16"/>
        <w:szCs w:val="16"/>
        <w:lang w:val="fr-BE"/>
      </w:rPr>
      <w:t xml:space="preserve"> +32 2 732 32 </w:t>
    </w:r>
    <w:proofErr w:type="gramStart"/>
    <w:r w:rsidRPr="00FE74F2">
      <w:rPr>
        <w:rFonts w:ascii="Helvetica" w:hAnsi="Helvetica"/>
        <w:sz w:val="16"/>
        <w:szCs w:val="16"/>
        <w:lang w:val="fr-BE"/>
      </w:rPr>
      <w:t xml:space="preserve">13  </w:t>
    </w:r>
    <w:r w:rsidRPr="00FE74F2">
      <w:rPr>
        <w:rFonts w:ascii="Helvetica" w:hAnsi="Helvetica"/>
        <w:b/>
        <w:bCs/>
        <w:color w:val="EB6723" w:themeColor="accent4"/>
        <w:sz w:val="16"/>
        <w:szCs w:val="16"/>
        <w:lang w:val="fr-BE"/>
      </w:rPr>
      <w:t>|</w:t>
    </w:r>
    <w:proofErr w:type="gramEnd"/>
    <w:r w:rsidRPr="00FE74F2">
      <w:rPr>
        <w:rFonts w:ascii="Helvetica" w:hAnsi="Helvetica"/>
        <w:color w:val="FFFFFF" w:themeColor="background1"/>
        <w:sz w:val="16"/>
        <w:szCs w:val="16"/>
        <w:lang w:val="fr-BE"/>
      </w:rPr>
      <w:t xml:space="preserve">  </w:t>
    </w:r>
    <w:proofErr w:type="gramStart"/>
    <w:r w:rsidRPr="00FE74F2">
      <w:rPr>
        <w:rFonts w:ascii="Helvetica" w:hAnsi="Helvetica"/>
        <w:sz w:val="16"/>
        <w:szCs w:val="16"/>
        <w:lang w:val="fr-BE"/>
      </w:rPr>
      <w:t xml:space="preserve">info@fead.be  </w:t>
    </w:r>
    <w:r w:rsidRPr="00FE74F2">
      <w:rPr>
        <w:rFonts w:ascii="Helvetica" w:hAnsi="Helvetica"/>
        <w:b/>
        <w:bCs/>
        <w:color w:val="EB6723" w:themeColor="accent4"/>
        <w:sz w:val="16"/>
        <w:szCs w:val="16"/>
        <w:lang w:val="fr-BE"/>
      </w:rPr>
      <w:t>|</w:t>
    </w:r>
    <w:proofErr w:type="gramEnd"/>
    <w:r w:rsidRPr="00FE74F2">
      <w:rPr>
        <w:rFonts w:ascii="Helvetica" w:hAnsi="Helvetica"/>
        <w:color w:val="FFFFFF" w:themeColor="background1"/>
        <w:sz w:val="16"/>
        <w:szCs w:val="16"/>
        <w:lang w:val="fr-BE"/>
      </w:rPr>
      <w:t xml:space="preserve">  </w:t>
    </w:r>
    <w:r w:rsidRPr="00FE74F2">
      <w:rPr>
        <w:rFonts w:ascii="Helvetica" w:hAnsi="Helvetica"/>
        <w:sz w:val="16"/>
        <w:szCs w:val="16"/>
        <w:lang w:val="fr-BE"/>
      </w:rPr>
      <w:t>www.fead.be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37C68" w14:textId="77777777" w:rsidR="00637BF3" w:rsidRDefault="00637BF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32E6F" w14:textId="77777777" w:rsidR="008A77B1" w:rsidRDefault="008A77B1" w:rsidP="00DC1202">
      <w:pPr>
        <w:spacing w:line="240" w:lineRule="auto"/>
      </w:pPr>
      <w:r>
        <w:separator/>
      </w:r>
    </w:p>
  </w:footnote>
  <w:footnote w:type="continuationSeparator" w:id="0">
    <w:p w14:paraId="55D15A96" w14:textId="77777777" w:rsidR="008A77B1" w:rsidRDefault="008A77B1" w:rsidP="00DC12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5E57C" w14:textId="386B0B17" w:rsidR="003A18EB" w:rsidRDefault="00000000">
    <w:pPr>
      <w:pStyle w:val="Intestazione"/>
    </w:pPr>
    <w:r>
      <w:rPr>
        <w:noProof/>
      </w:rPr>
      <w:pict w14:anchorId="7D95468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476469" o:spid="_x0000_s1027" type="#_x0000_t75" style="position:absolute;left:0;text-align:left;margin-left:0;margin-top:0;width:682.55pt;height:964.7pt;z-index:-251658239;mso-wrap-edited:f;mso-position-horizontal:center;mso-position-horizontal-relative:margin;mso-position-vertical:center;mso-position-vertical-relative:margin" o:allowincell="f">
          <v:imagedata r:id="rId1" o:title="icon-watremark-A4-ba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7D753" w14:textId="63E26595" w:rsidR="003A18EB" w:rsidRDefault="000F5E98" w:rsidP="000F5E98">
    <w:pPr>
      <w:pStyle w:val="Intestazione"/>
    </w:pPr>
    <w:r w:rsidRPr="00FC0FC4">
      <w:rPr>
        <w:rFonts w:cs="Arial"/>
        <w:noProof/>
      </w:rPr>
      <w:drawing>
        <wp:anchor distT="0" distB="0" distL="114300" distR="114300" simplePos="0" relativeHeight="251658243" behindDoc="0" locked="0" layoutInCell="1" allowOverlap="1" wp14:anchorId="7F5FF3CB" wp14:editId="4C89C2A3">
          <wp:simplePos x="0" y="0"/>
          <wp:positionH relativeFrom="column">
            <wp:posOffset>-114300</wp:posOffset>
          </wp:positionH>
          <wp:positionV relativeFrom="page">
            <wp:posOffset>448945</wp:posOffset>
          </wp:positionV>
          <wp:extent cx="1951990" cy="1071880"/>
          <wp:effectExtent l="0" t="0" r="3810" b="0"/>
          <wp:wrapNone/>
          <wp:docPr id="875572572" name="Picture 875572572" descr="A picture containing fru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fruit&#10;&#10;Description automatically generated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686" t="27747" r="25966" b="34432"/>
                  <a:stretch/>
                </pic:blipFill>
                <pic:spPr bwMode="auto">
                  <a:xfrm>
                    <a:off x="0" y="0"/>
                    <a:ext cx="1951990" cy="10718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noProof/>
      </w:rPr>
      <w:pict w14:anchorId="66EBC44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476470" o:spid="_x0000_s1026" type="#_x0000_t75" style="position:absolute;left:0;text-align:left;margin-left:0;margin-top:0;width:682.55pt;height:964.7pt;z-index:-251658238;mso-wrap-edited:f;mso-position-horizontal:center;mso-position-horizontal-relative:margin;mso-position-vertical:center;mso-position-vertical-relative:margin" o:allowincell="f">
          <v:imagedata r:id="rId2" o:title="icon-watremark-A4-ba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415E0" w14:textId="02226A0E" w:rsidR="003A18EB" w:rsidRDefault="00000000">
    <w:pPr>
      <w:pStyle w:val="Intestazione"/>
    </w:pPr>
    <w:r>
      <w:rPr>
        <w:noProof/>
      </w:rPr>
      <w:pict w14:anchorId="7D4B3E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476468" o:spid="_x0000_s1025" type="#_x0000_t75" style="position:absolute;left:0;text-align:left;margin-left:0;margin-top:0;width:682.55pt;height:964.7pt;z-index:-251658240;mso-wrap-edited:f;mso-position-horizontal:center;mso-position-horizontal-relative:margin;mso-position-vertical:center;mso-position-vertical-relative:margin" o:allowincell="f">
          <v:imagedata r:id="rId1" o:title="icon-watremark-A4-ba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BF69EE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2A2113"/>
    <w:multiLevelType w:val="hybridMultilevel"/>
    <w:tmpl w:val="08588A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A5977"/>
    <w:multiLevelType w:val="multilevel"/>
    <w:tmpl w:val="F014C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504B66"/>
    <w:multiLevelType w:val="hybridMultilevel"/>
    <w:tmpl w:val="E166C34C"/>
    <w:lvl w:ilvl="0" w:tplc="FF888A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E5F8EDE4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387065"/>
    <w:multiLevelType w:val="multilevel"/>
    <w:tmpl w:val="3B7C6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707125"/>
    <w:multiLevelType w:val="hybridMultilevel"/>
    <w:tmpl w:val="BFA4A1E0"/>
    <w:lvl w:ilvl="0" w:tplc="2000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6" w15:restartNumberingAfterBreak="0">
    <w:nsid w:val="243E0586"/>
    <w:multiLevelType w:val="hybridMultilevel"/>
    <w:tmpl w:val="8174C94E"/>
    <w:lvl w:ilvl="0" w:tplc="0F928FFE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C5206"/>
    <w:multiLevelType w:val="hybridMultilevel"/>
    <w:tmpl w:val="14401DBC"/>
    <w:lvl w:ilvl="0" w:tplc="FF888A2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3C6D82"/>
    <w:multiLevelType w:val="multilevel"/>
    <w:tmpl w:val="A8404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AD5D8A"/>
    <w:multiLevelType w:val="hybridMultilevel"/>
    <w:tmpl w:val="CBCCFE04"/>
    <w:lvl w:ilvl="0" w:tplc="F2C29D6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CC5DB1"/>
    <w:multiLevelType w:val="hybridMultilevel"/>
    <w:tmpl w:val="77A0CE84"/>
    <w:lvl w:ilvl="0" w:tplc="FF888A2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795ADC"/>
    <w:multiLevelType w:val="hybridMultilevel"/>
    <w:tmpl w:val="5EDCB240"/>
    <w:lvl w:ilvl="0" w:tplc="EFE47E16">
      <w:start w:val="1"/>
      <w:numFmt w:val="bullet"/>
      <w:pStyle w:val="Nessunaspaziatur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C223BC"/>
    <w:multiLevelType w:val="multilevel"/>
    <w:tmpl w:val="35429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3CA6A2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A0F2A22"/>
    <w:multiLevelType w:val="hybridMultilevel"/>
    <w:tmpl w:val="BCA46AAE"/>
    <w:lvl w:ilvl="0" w:tplc="FF888A2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41288D"/>
    <w:multiLevelType w:val="multilevel"/>
    <w:tmpl w:val="F014C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6848CE"/>
    <w:multiLevelType w:val="multilevel"/>
    <w:tmpl w:val="8B224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A587614"/>
    <w:multiLevelType w:val="hybridMultilevel"/>
    <w:tmpl w:val="665069BA"/>
    <w:lvl w:ilvl="0" w:tplc="FF888A2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6D0A5F"/>
    <w:multiLevelType w:val="hybridMultilevel"/>
    <w:tmpl w:val="189C952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4270642">
    <w:abstractNumId w:val="11"/>
  </w:num>
  <w:num w:numId="2" w16cid:durableId="1052850429">
    <w:abstractNumId w:val="9"/>
  </w:num>
  <w:num w:numId="3" w16cid:durableId="340816573">
    <w:abstractNumId w:val="13"/>
  </w:num>
  <w:num w:numId="4" w16cid:durableId="215625086">
    <w:abstractNumId w:val="1"/>
  </w:num>
  <w:num w:numId="5" w16cid:durableId="1463425684">
    <w:abstractNumId w:val="16"/>
  </w:num>
  <w:num w:numId="6" w16cid:durableId="163017862">
    <w:abstractNumId w:val="12"/>
  </w:num>
  <w:num w:numId="7" w16cid:durableId="211232887">
    <w:abstractNumId w:val="2"/>
  </w:num>
  <w:num w:numId="8" w16cid:durableId="50420286">
    <w:abstractNumId w:val="4"/>
  </w:num>
  <w:num w:numId="9" w16cid:durableId="994840608">
    <w:abstractNumId w:val="8"/>
  </w:num>
  <w:num w:numId="10" w16cid:durableId="1998651636">
    <w:abstractNumId w:val="0"/>
  </w:num>
  <w:num w:numId="11" w16cid:durableId="67308650">
    <w:abstractNumId w:val="18"/>
  </w:num>
  <w:num w:numId="12" w16cid:durableId="2056082694">
    <w:abstractNumId w:val="3"/>
  </w:num>
  <w:num w:numId="13" w16cid:durableId="1486898277">
    <w:abstractNumId w:val="6"/>
  </w:num>
  <w:num w:numId="14" w16cid:durableId="1276786785">
    <w:abstractNumId w:val="7"/>
  </w:num>
  <w:num w:numId="15" w16cid:durableId="1887835282">
    <w:abstractNumId w:val="15"/>
  </w:num>
  <w:num w:numId="16" w16cid:durableId="1893424429">
    <w:abstractNumId w:val="10"/>
  </w:num>
  <w:num w:numId="17" w16cid:durableId="1233809681">
    <w:abstractNumId w:val="14"/>
  </w:num>
  <w:num w:numId="18" w16cid:durableId="1453137043">
    <w:abstractNumId w:val="17"/>
  </w:num>
  <w:num w:numId="19" w16cid:durableId="2939533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202"/>
    <w:rsid w:val="00000CC2"/>
    <w:rsid w:val="000113B0"/>
    <w:rsid w:val="00022432"/>
    <w:rsid w:val="00027726"/>
    <w:rsid w:val="00033AFA"/>
    <w:rsid w:val="0004018A"/>
    <w:rsid w:val="000503D4"/>
    <w:rsid w:val="00050CB6"/>
    <w:rsid w:val="0007146D"/>
    <w:rsid w:val="0008623A"/>
    <w:rsid w:val="000A3DBE"/>
    <w:rsid w:val="000A772B"/>
    <w:rsid w:val="000B7FD0"/>
    <w:rsid w:val="000C0CCF"/>
    <w:rsid w:val="000C28BE"/>
    <w:rsid w:val="000C68CA"/>
    <w:rsid w:val="000C7DD5"/>
    <w:rsid w:val="000D517B"/>
    <w:rsid w:val="000D594C"/>
    <w:rsid w:val="000E1FFC"/>
    <w:rsid w:val="000E5C1A"/>
    <w:rsid w:val="000F5E98"/>
    <w:rsid w:val="00101ED0"/>
    <w:rsid w:val="00104B5C"/>
    <w:rsid w:val="001111CE"/>
    <w:rsid w:val="001157B0"/>
    <w:rsid w:val="00142E30"/>
    <w:rsid w:val="00145A0E"/>
    <w:rsid w:val="00145A94"/>
    <w:rsid w:val="00153413"/>
    <w:rsid w:val="00154109"/>
    <w:rsid w:val="001543A1"/>
    <w:rsid w:val="0017505A"/>
    <w:rsid w:val="001A6D83"/>
    <w:rsid w:val="001A734F"/>
    <w:rsid w:val="001C1254"/>
    <w:rsid w:val="001E15DA"/>
    <w:rsid w:val="001F0C20"/>
    <w:rsid w:val="001F471E"/>
    <w:rsid w:val="001F6D86"/>
    <w:rsid w:val="0020317B"/>
    <w:rsid w:val="00215655"/>
    <w:rsid w:val="00237D82"/>
    <w:rsid w:val="00241B04"/>
    <w:rsid w:val="00271BE0"/>
    <w:rsid w:val="00274377"/>
    <w:rsid w:val="00274682"/>
    <w:rsid w:val="00275E21"/>
    <w:rsid w:val="00282770"/>
    <w:rsid w:val="0029121A"/>
    <w:rsid w:val="00293627"/>
    <w:rsid w:val="00296329"/>
    <w:rsid w:val="00296B33"/>
    <w:rsid w:val="002A3355"/>
    <w:rsid w:val="002B0524"/>
    <w:rsid w:val="002C010F"/>
    <w:rsid w:val="002C08B9"/>
    <w:rsid w:val="002E16BF"/>
    <w:rsid w:val="0030163A"/>
    <w:rsid w:val="00307EBF"/>
    <w:rsid w:val="00314B44"/>
    <w:rsid w:val="00321113"/>
    <w:rsid w:val="00321E1A"/>
    <w:rsid w:val="00330766"/>
    <w:rsid w:val="00331E83"/>
    <w:rsid w:val="0033621E"/>
    <w:rsid w:val="0034578F"/>
    <w:rsid w:val="003513A5"/>
    <w:rsid w:val="0035370C"/>
    <w:rsid w:val="00360D54"/>
    <w:rsid w:val="00364710"/>
    <w:rsid w:val="00367B02"/>
    <w:rsid w:val="00382955"/>
    <w:rsid w:val="00385B89"/>
    <w:rsid w:val="003914A2"/>
    <w:rsid w:val="0039293B"/>
    <w:rsid w:val="0039617D"/>
    <w:rsid w:val="003A0B8A"/>
    <w:rsid w:val="003A18EB"/>
    <w:rsid w:val="003A47A7"/>
    <w:rsid w:val="003A49D8"/>
    <w:rsid w:val="003C3778"/>
    <w:rsid w:val="003D34AF"/>
    <w:rsid w:val="003F32B7"/>
    <w:rsid w:val="003F3F69"/>
    <w:rsid w:val="003F71EC"/>
    <w:rsid w:val="00400BF9"/>
    <w:rsid w:val="0040687A"/>
    <w:rsid w:val="004138B8"/>
    <w:rsid w:val="00414494"/>
    <w:rsid w:val="004164F0"/>
    <w:rsid w:val="00416F2A"/>
    <w:rsid w:val="00431BA1"/>
    <w:rsid w:val="0043631D"/>
    <w:rsid w:val="004409C2"/>
    <w:rsid w:val="0044321A"/>
    <w:rsid w:val="0044479C"/>
    <w:rsid w:val="00444AE8"/>
    <w:rsid w:val="0045529D"/>
    <w:rsid w:val="004634E6"/>
    <w:rsid w:val="004765CD"/>
    <w:rsid w:val="004859BB"/>
    <w:rsid w:val="00486E9A"/>
    <w:rsid w:val="004A187B"/>
    <w:rsid w:val="004A6309"/>
    <w:rsid w:val="004C409F"/>
    <w:rsid w:val="005059B7"/>
    <w:rsid w:val="00514CE9"/>
    <w:rsid w:val="00521F23"/>
    <w:rsid w:val="00525BE4"/>
    <w:rsid w:val="005305A7"/>
    <w:rsid w:val="00533B47"/>
    <w:rsid w:val="00537275"/>
    <w:rsid w:val="00550DB2"/>
    <w:rsid w:val="005721A5"/>
    <w:rsid w:val="00580040"/>
    <w:rsid w:val="005814CF"/>
    <w:rsid w:val="00583B49"/>
    <w:rsid w:val="005A7DF7"/>
    <w:rsid w:val="005B2874"/>
    <w:rsid w:val="005B5DA4"/>
    <w:rsid w:val="005D64B9"/>
    <w:rsid w:val="005D79AC"/>
    <w:rsid w:val="005E27EF"/>
    <w:rsid w:val="005E6F45"/>
    <w:rsid w:val="005F0CE9"/>
    <w:rsid w:val="005F51AF"/>
    <w:rsid w:val="0061494E"/>
    <w:rsid w:val="0061753D"/>
    <w:rsid w:val="00624FB9"/>
    <w:rsid w:val="0063414D"/>
    <w:rsid w:val="0063423F"/>
    <w:rsid w:val="00637BF3"/>
    <w:rsid w:val="00641E21"/>
    <w:rsid w:val="00641F68"/>
    <w:rsid w:val="006566B5"/>
    <w:rsid w:val="00656FAE"/>
    <w:rsid w:val="00662BB0"/>
    <w:rsid w:val="00670DD8"/>
    <w:rsid w:val="00671CDD"/>
    <w:rsid w:val="00675625"/>
    <w:rsid w:val="00680CEB"/>
    <w:rsid w:val="00683A96"/>
    <w:rsid w:val="0069126B"/>
    <w:rsid w:val="00697C43"/>
    <w:rsid w:val="006A00CA"/>
    <w:rsid w:val="006D6AD9"/>
    <w:rsid w:val="006D7DD1"/>
    <w:rsid w:val="006F65FA"/>
    <w:rsid w:val="0071298D"/>
    <w:rsid w:val="00713842"/>
    <w:rsid w:val="00720E3F"/>
    <w:rsid w:val="00727E72"/>
    <w:rsid w:val="00730F17"/>
    <w:rsid w:val="00731328"/>
    <w:rsid w:val="00731BED"/>
    <w:rsid w:val="00732BA6"/>
    <w:rsid w:val="0074271C"/>
    <w:rsid w:val="00744B57"/>
    <w:rsid w:val="00746F06"/>
    <w:rsid w:val="007675E3"/>
    <w:rsid w:val="00770B91"/>
    <w:rsid w:val="0078122F"/>
    <w:rsid w:val="00785F9E"/>
    <w:rsid w:val="00787D6C"/>
    <w:rsid w:val="007A1B70"/>
    <w:rsid w:val="007A24AE"/>
    <w:rsid w:val="007C50C9"/>
    <w:rsid w:val="007C77E2"/>
    <w:rsid w:val="007D51A3"/>
    <w:rsid w:val="007E3BD3"/>
    <w:rsid w:val="007E40BE"/>
    <w:rsid w:val="007F03F3"/>
    <w:rsid w:val="0081465C"/>
    <w:rsid w:val="00815100"/>
    <w:rsid w:val="0081719F"/>
    <w:rsid w:val="008232D2"/>
    <w:rsid w:val="00823784"/>
    <w:rsid w:val="008418D1"/>
    <w:rsid w:val="008419BF"/>
    <w:rsid w:val="0084547E"/>
    <w:rsid w:val="0084611C"/>
    <w:rsid w:val="00853676"/>
    <w:rsid w:val="0086260B"/>
    <w:rsid w:val="00866DE2"/>
    <w:rsid w:val="00880562"/>
    <w:rsid w:val="00886257"/>
    <w:rsid w:val="008A77B1"/>
    <w:rsid w:val="008F2E7A"/>
    <w:rsid w:val="00905CD3"/>
    <w:rsid w:val="00926B86"/>
    <w:rsid w:val="009412D1"/>
    <w:rsid w:val="00943F83"/>
    <w:rsid w:val="0094774E"/>
    <w:rsid w:val="009668E6"/>
    <w:rsid w:val="009716FC"/>
    <w:rsid w:val="009816FB"/>
    <w:rsid w:val="00990218"/>
    <w:rsid w:val="00990486"/>
    <w:rsid w:val="00996991"/>
    <w:rsid w:val="009B04B9"/>
    <w:rsid w:val="009C4576"/>
    <w:rsid w:val="009D31B9"/>
    <w:rsid w:val="009D3423"/>
    <w:rsid w:val="009D63B9"/>
    <w:rsid w:val="009E39CA"/>
    <w:rsid w:val="009F7B17"/>
    <w:rsid w:val="00A05BC1"/>
    <w:rsid w:val="00A11099"/>
    <w:rsid w:val="00A23026"/>
    <w:rsid w:val="00A25282"/>
    <w:rsid w:val="00A2554B"/>
    <w:rsid w:val="00A33FF9"/>
    <w:rsid w:val="00A4284F"/>
    <w:rsid w:val="00A507BE"/>
    <w:rsid w:val="00A522FC"/>
    <w:rsid w:val="00A53ED3"/>
    <w:rsid w:val="00A55931"/>
    <w:rsid w:val="00A57FFB"/>
    <w:rsid w:val="00A641AF"/>
    <w:rsid w:val="00A67250"/>
    <w:rsid w:val="00A703B1"/>
    <w:rsid w:val="00A739E9"/>
    <w:rsid w:val="00AA0872"/>
    <w:rsid w:val="00AB3879"/>
    <w:rsid w:val="00AC3AFA"/>
    <w:rsid w:val="00AC5F31"/>
    <w:rsid w:val="00AC7A44"/>
    <w:rsid w:val="00AD503F"/>
    <w:rsid w:val="00AE1A05"/>
    <w:rsid w:val="00AF3E09"/>
    <w:rsid w:val="00AF7AB8"/>
    <w:rsid w:val="00B03596"/>
    <w:rsid w:val="00B0686A"/>
    <w:rsid w:val="00B173D0"/>
    <w:rsid w:val="00B459DF"/>
    <w:rsid w:val="00B50363"/>
    <w:rsid w:val="00B51720"/>
    <w:rsid w:val="00B56387"/>
    <w:rsid w:val="00B62527"/>
    <w:rsid w:val="00B71D1A"/>
    <w:rsid w:val="00B73956"/>
    <w:rsid w:val="00B75DC0"/>
    <w:rsid w:val="00B94952"/>
    <w:rsid w:val="00BA522A"/>
    <w:rsid w:val="00BA6CF9"/>
    <w:rsid w:val="00BB32DE"/>
    <w:rsid w:val="00BB5D18"/>
    <w:rsid w:val="00BC6E94"/>
    <w:rsid w:val="00BC75C0"/>
    <w:rsid w:val="00BD054B"/>
    <w:rsid w:val="00BD0D7C"/>
    <w:rsid w:val="00C03494"/>
    <w:rsid w:val="00C05D07"/>
    <w:rsid w:val="00C07DC9"/>
    <w:rsid w:val="00C24279"/>
    <w:rsid w:val="00C26305"/>
    <w:rsid w:val="00C2647F"/>
    <w:rsid w:val="00C26BE9"/>
    <w:rsid w:val="00C445C9"/>
    <w:rsid w:val="00C50D7A"/>
    <w:rsid w:val="00C56979"/>
    <w:rsid w:val="00C57807"/>
    <w:rsid w:val="00C63032"/>
    <w:rsid w:val="00C64B9D"/>
    <w:rsid w:val="00C731B6"/>
    <w:rsid w:val="00C739AD"/>
    <w:rsid w:val="00C83295"/>
    <w:rsid w:val="00CA28D5"/>
    <w:rsid w:val="00CE0B18"/>
    <w:rsid w:val="00CF021D"/>
    <w:rsid w:val="00CF05A5"/>
    <w:rsid w:val="00CF3C75"/>
    <w:rsid w:val="00D0052E"/>
    <w:rsid w:val="00D009AE"/>
    <w:rsid w:val="00D035B3"/>
    <w:rsid w:val="00D12DCB"/>
    <w:rsid w:val="00D17B39"/>
    <w:rsid w:val="00D206B7"/>
    <w:rsid w:val="00D46A8A"/>
    <w:rsid w:val="00D600B8"/>
    <w:rsid w:val="00D72E17"/>
    <w:rsid w:val="00D74759"/>
    <w:rsid w:val="00D87D87"/>
    <w:rsid w:val="00DA582F"/>
    <w:rsid w:val="00DC1202"/>
    <w:rsid w:val="00DC252C"/>
    <w:rsid w:val="00DC2D79"/>
    <w:rsid w:val="00DC32B6"/>
    <w:rsid w:val="00DD07BD"/>
    <w:rsid w:val="00DD0A79"/>
    <w:rsid w:val="00DD3E89"/>
    <w:rsid w:val="00DE1599"/>
    <w:rsid w:val="00DF433F"/>
    <w:rsid w:val="00DF6F3A"/>
    <w:rsid w:val="00E024C7"/>
    <w:rsid w:val="00E26680"/>
    <w:rsid w:val="00E43842"/>
    <w:rsid w:val="00E5290E"/>
    <w:rsid w:val="00E52E62"/>
    <w:rsid w:val="00E53C08"/>
    <w:rsid w:val="00E548E2"/>
    <w:rsid w:val="00E561C5"/>
    <w:rsid w:val="00E70C8B"/>
    <w:rsid w:val="00E711FF"/>
    <w:rsid w:val="00E77FA2"/>
    <w:rsid w:val="00E801BF"/>
    <w:rsid w:val="00E81AD7"/>
    <w:rsid w:val="00E81BF6"/>
    <w:rsid w:val="00E83F36"/>
    <w:rsid w:val="00E95575"/>
    <w:rsid w:val="00E95DD9"/>
    <w:rsid w:val="00EA11D1"/>
    <w:rsid w:val="00EA2DB5"/>
    <w:rsid w:val="00EA35A8"/>
    <w:rsid w:val="00ED3174"/>
    <w:rsid w:val="00EE5205"/>
    <w:rsid w:val="00EF7E14"/>
    <w:rsid w:val="00F00D34"/>
    <w:rsid w:val="00F16997"/>
    <w:rsid w:val="00F328E0"/>
    <w:rsid w:val="00F47757"/>
    <w:rsid w:val="00F64D25"/>
    <w:rsid w:val="00F7616F"/>
    <w:rsid w:val="00F777BB"/>
    <w:rsid w:val="00F851EC"/>
    <w:rsid w:val="00F8573A"/>
    <w:rsid w:val="00F900C2"/>
    <w:rsid w:val="00F93039"/>
    <w:rsid w:val="00FB6FA6"/>
    <w:rsid w:val="00FC7378"/>
    <w:rsid w:val="00FD5EEE"/>
    <w:rsid w:val="00FE1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CC9B1F"/>
  <w15:chartTrackingRefBased/>
  <w15:docId w15:val="{5AF92117-BA8F-4029-84B8-BCBBC3532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kern w:val="22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Text,Body text"/>
    <w:qFormat/>
    <w:rsid w:val="009C4576"/>
    <w:pPr>
      <w:spacing w:line="360" w:lineRule="auto"/>
      <w:jc w:val="both"/>
    </w:pPr>
    <w:rPr>
      <w:rFonts w:eastAsiaTheme="minorHAnsi" w:cstheme="minorBidi"/>
      <w:color w:val="1F3C7F" w:themeColor="text2"/>
      <w:kern w:val="0"/>
      <w:szCs w:val="24"/>
      <w:lang w:val="en-GB"/>
    </w:rPr>
  </w:style>
  <w:style w:type="paragraph" w:styleId="Titolo1">
    <w:name w:val="heading 1"/>
    <w:basedOn w:val="Normale"/>
    <w:next w:val="Normale"/>
    <w:link w:val="Titolo1Carattere"/>
    <w:uiPriority w:val="9"/>
    <w:rsid w:val="00DC12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07CA8" w:themeColor="accent1" w:themeShade="BF"/>
      <w:sz w:val="40"/>
      <w:szCs w:val="40"/>
    </w:rPr>
  </w:style>
  <w:style w:type="paragraph" w:styleId="Titolo2">
    <w:name w:val="heading 2"/>
    <w:aliases w:val="Subtitle 2"/>
    <w:basedOn w:val="Normale"/>
    <w:next w:val="Normale"/>
    <w:link w:val="Titolo2Carattere"/>
    <w:uiPriority w:val="9"/>
    <w:unhideWhenUsed/>
    <w:qFormat/>
    <w:rsid w:val="00DC1202"/>
    <w:pPr>
      <w:outlineLvl w:val="1"/>
    </w:pPr>
    <w:rPr>
      <w:b/>
      <w:bCs/>
      <w:color w:val="00A7E1" w:themeColor="accent1"/>
      <w:sz w:val="24"/>
    </w:rPr>
  </w:style>
  <w:style w:type="paragraph" w:styleId="Titolo3">
    <w:name w:val="heading 3"/>
    <w:aliases w:val="Footnotes"/>
    <w:basedOn w:val="Testonotaapidipagina"/>
    <w:next w:val="Normale"/>
    <w:link w:val="Titolo3Carattere"/>
    <w:uiPriority w:val="9"/>
    <w:unhideWhenUsed/>
    <w:rsid w:val="00DC1202"/>
    <w:pPr>
      <w:spacing w:before="40" w:line="276" w:lineRule="auto"/>
      <w:outlineLvl w:val="2"/>
    </w:pPr>
    <w:rPr>
      <w:rFonts w:cs="Arial"/>
      <w:color w:val="979797" w:themeColor="text1" w:themeTint="99"/>
      <w:szCs w:val="1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rsid w:val="00DC120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07CA8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C120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07CA8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C120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8F8F8F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C120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8F8F8F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C120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6D6D6D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C1202"/>
    <w:pPr>
      <w:keepNext/>
      <w:keepLines/>
      <w:outlineLvl w:val="8"/>
    </w:pPr>
    <w:rPr>
      <w:rFonts w:asciiTheme="minorHAnsi" w:eastAsiaTheme="majorEastAsia" w:hAnsiTheme="minorHAnsi" w:cstheme="majorBidi"/>
      <w:color w:val="6D6D6D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ellenraster21">
    <w:name w:val="Tabellenraster 21"/>
    <w:basedOn w:val="Tabellanormale"/>
    <w:next w:val="Grigliatabella"/>
    <w:uiPriority w:val="39"/>
    <w:rsid w:val="005D64B9"/>
    <w:rPr>
      <w:rFonts w:ascii="Calibri" w:eastAsiaTheme="minorHAnsi" w:hAnsi="Calibri"/>
      <w:lang w:val="de-DE"/>
    </w:rPr>
    <w:tblPr>
      <w:tblStyleRowBandSize w:val="1"/>
      <w:tblBorders>
        <w:top w:val="single" w:sz="4" w:space="0" w:color="535353" w:themeColor="text1"/>
        <w:left w:val="single" w:sz="4" w:space="0" w:color="535353" w:themeColor="text1"/>
        <w:bottom w:val="single" w:sz="4" w:space="0" w:color="535353" w:themeColor="text1"/>
        <w:right w:val="single" w:sz="4" w:space="0" w:color="535353" w:themeColor="text1"/>
        <w:insideH w:val="single" w:sz="4" w:space="0" w:color="535353" w:themeColor="text1"/>
        <w:insideV w:val="single" w:sz="4" w:space="0" w:color="535353" w:themeColor="text1"/>
      </w:tblBorders>
    </w:tblPr>
    <w:tcPr>
      <w:vAlign w:val="center"/>
    </w:tcPr>
    <w:tblStylePr w:type="firstRow">
      <w:rPr>
        <w:rFonts w:ascii="Calibri" w:hAnsi="Calibri"/>
        <w:b/>
        <w:i w:val="0"/>
        <w:color w:val="FFFFFF" w:themeColor="background1"/>
        <w:sz w:val="24"/>
      </w:rPr>
      <w:tblPr/>
      <w:tcPr>
        <w:shd w:val="clear" w:color="auto" w:fill="535353" w:themeFill="text1"/>
      </w:tcPr>
    </w:tblStylePr>
    <w:tblStylePr w:type="band1Horz">
      <w:tblPr/>
      <w:tcPr>
        <w:shd w:val="clear" w:color="auto" w:fill="C6D3F1" w:themeFill="text2" w:themeFillTint="33"/>
      </w:tcPr>
    </w:tblStylePr>
  </w:style>
  <w:style w:type="table" w:styleId="Grigliatabella">
    <w:name w:val="Table Grid"/>
    <w:basedOn w:val="Tabellanormale"/>
    <w:uiPriority w:val="39"/>
    <w:rsid w:val="005D64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">
    <w:name w:val="Table"/>
    <w:basedOn w:val="Tabellanormale"/>
    <w:next w:val="Grigliatabella"/>
    <w:uiPriority w:val="39"/>
    <w:rsid w:val="00314B44"/>
    <w:rPr>
      <w:rFonts w:ascii="Calibri" w:eastAsiaTheme="minorHAnsi" w:hAnsi="Calibri"/>
      <w:lang w:val="de-DE"/>
    </w:rPr>
    <w:tblPr>
      <w:tblStyleRowBandSize w:val="1"/>
      <w:tblBorders>
        <w:top w:val="single" w:sz="4" w:space="0" w:color="535353" w:themeColor="text1"/>
        <w:left w:val="single" w:sz="4" w:space="0" w:color="535353" w:themeColor="text1"/>
        <w:bottom w:val="single" w:sz="4" w:space="0" w:color="535353" w:themeColor="text1"/>
        <w:right w:val="single" w:sz="4" w:space="0" w:color="535353" w:themeColor="text1"/>
        <w:insideH w:val="single" w:sz="4" w:space="0" w:color="535353" w:themeColor="text1"/>
        <w:insideV w:val="single" w:sz="4" w:space="0" w:color="535353" w:themeColor="text1"/>
      </w:tblBorders>
    </w:tblPr>
    <w:tcPr>
      <w:vAlign w:val="center"/>
    </w:tcPr>
    <w:tblStylePr w:type="firstRow">
      <w:rPr>
        <w:rFonts w:ascii="Calibri" w:hAnsi="Calibri"/>
        <w:b/>
        <w:i w:val="0"/>
        <w:color w:val="FFFFFF" w:themeColor="background1"/>
        <w:sz w:val="28"/>
      </w:rPr>
      <w:tblPr/>
      <w:tcPr>
        <w:tcBorders>
          <w:top w:val="single" w:sz="4" w:space="0" w:color="535353" w:themeColor="text1"/>
          <w:left w:val="single" w:sz="4" w:space="0" w:color="535353" w:themeColor="text1"/>
          <w:bottom w:val="single" w:sz="4" w:space="0" w:color="535353" w:themeColor="text1"/>
          <w:right w:val="single" w:sz="4" w:space="0" w:color="535353" w:themeColor="text1"/>
          <w:insideV w:val="single" w:sz="4" w:space="0" w:color="FFFFFF" w:themeColor="background1"/>
        </w:tcBorders>
        <w:shd w:val="clear" w:color="auto" w:fill="535353" w:themeFill="text1"/>
      </w:tcPr>
    </w:tblStylePr>
    <w:tblStylePr w:type="band1Horz">
      <w:tblPr/>
      <w:tcPr>
        <w:shd w:val="clear" w:color="auto" w:fill="DCDCDC" w:themeFill="text1" w:themeFillTint="33"/>
      </w:tcPr>
    </w:tblStylePr>
  </w:style>
  <w:style w:type="character" w:customStyle="1" w:styleId="Titolo1Carattere">
    <w:name w:val="Titolo 1 Carattere"/>
    <w:basedOn w:val="Carpredefinitoparagrafo"/>
    <w:link w:val="Titolo1"/>
    <w:uiPriority w:val="9"/>
    <w:rsid w:val="00DC1202"/>
    <w:rPr>
      <w:rFonts w:asciiTheme="majorHAnsi" w:eastAsiaTheme="majorEastAsia" w:hAnsiTheme="majorHAnsi" w:cstheme="majorBidi"/>
      <w:color w:val="007CA8" w:themeColor="accent1" w:themeShade="BF"/>
      <w:sz w:val="40"/>
      <w:szCs w:val="40"/>
    </w:rPr>
  </w:style>
  <w:style w:type="character" w:customStyle="1" w:styleId="Titolo2Carattere">
    <w:name w:val="Titolo 2 Carattere"/>
    <w:aliases w:val="Subtitle 2 Carattere"/>
    <w:basedOn w:val="Carpredefinitoparagrafo"/>
    <w:link w:val="Titolo2"/>
    <w:uiPriority w:val="9"/>
    <w:rsid w:val="00DC1202"/>
    <w:rPr>
      <w:rFonts w:eastAsiaTheme="minorHAnsi" w:cstheme="minorBidi"/>
      <w:b/>
      <w:bCs/>
      <w:color w:val="00A7E1" w:themeColor="accent1"/>
      <w:kern w:val="0"/>
      <w:sz w:val="24"/>
      <w:szCs w:val="24"/>
      <w:lang w:val="en-GB"/>
    </w:rPr>
  </w:style>
  <w:style w:type="character" w:customStyle="1" w:styleId="Titolo3Carattere">
    <w:name w:val="Titolo 3 Carattere"/>
    <w:aliases w:val="Footnotes Carattere"/>
    <w:basedOn w:val="Carpredefinitoparagrafo"/>
    <w:link w:val="Titolo3"/>
    <w:uiPriority w:val="9"/>
    <w:rsid w:val="00DC1202"/>
    <w:rPr>
      <w:rFonts w:eastAsia="Times New Roman" w:cs="Arial"/>
      <w:color w:val="979797" w:themeColor="text1" w:themeTint="99"/>
      <w:kern w:val="0"/>
      <w:sz w:val="20"/>
      <w:szCs w:val="18"/>
      <w:lang w:val="de-DE" w:eastAsia="de-DE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C1202"/>
    <w:rPr>
      <w:rFonts w:asciiTheme="minorHAnsi" w:eastAsiaTheme="majorEastAsia" w:hAnsiTheme="minorHAnsi" w:cstheme="majorBidi"/>
      <w:i/>
      <w:iCs/>
      <w:color w:val="007CA8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C1202"/>
    <w:rPr>
      <w:rFonts w:asciiTheme="minorHAnsi" w:eastAsiaTheme="majorEastAsia" w:hAnsiTheme="minorHAnsi" w:cstheme="majorBidi"/>
      <w:color w:val="007CA8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C1202"/>
    <w:rPr>
      <w:rFonts w:asciiTheme="minorHAnsi" w:eastAsiaTheme="majorEastAsia" w:hAnsiTheme="minorHAnsi" w:cstheme="majorBidi"/>
      <w:i/>
      <w:iCs/>
      <w:color w:val="8F8F8F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C1202"/>
    <w:rPr>
      <w:rFonts w:asciiTheme="minorHAnsi" w:eastAsiaTheme="majorEastAsia" w:hAnsiTheme="minorHAnsi" w:cstheme="majorBidi"/>
      <w:color w:val="8F8F8F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C1202"/>
    <w:rPr>
      <w:rFonts w:asciiTheme="minorHAnsi" w:eastAsiaTheme="majorEastAsia" w:hAnsiTheme="minorHAnsi" w:cstheme="majorBidi"/>
      <w:i/>
      <w:iCs/>
      <w:color w:val="6D6D6D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C1202"/>
    <w:rPr>
      <w:rFonts w:asciiTheme="minorHAnsi" w:eastAsiaTheme="majorEastAsia" w:hAnsiTheme="minorHAnsi" w:cstheme="majorBidi"/>
      <w:color w:val="6D6D6D" w:themeColor="text1" w:themeTint="D8"/>
    </w:rPr>
  </w:style>
  <w:style w:type="paragraph" w:styleId="Titolo">
    <w:name w:val="Title"/>
    <w:aliases w:val="Main Title"/>
    <w:basedOn w:val="Normale"/>
    <w:next w:val="Normale"/>
    <w:link w:val="TitoloCarattere"/>
    <w:uiPriority w:val="10"/>
    <w:qFormat/>
    <w:rsid w:val="00E77FA2"/>
    <w:pPr>
      <w:widowControl w:val="0"/>
      <w:autoSpaceDE w:val="0"/>
      <w:autoSpaceDN w:val="0"/>
      <w:spacing w:before="60" w:after="180"/>
      <w:jc w:val="left"/>
    </w:pPr>
    <w:rPr>
      <w:rFonts w:eastAsia="Times New Roman" w:cs="Times New Roman"/>
      <w:b/>
      <w:sz w:val="40"/>
      <w:szCs w:val="40"/>
    </w:rPr>
  </w:style>
  <w:style w:type="character" w:customStyle="1" w:styleId="TitoloCarattere">
    <w:name w:val="Titolo Carattere"/>
    <w:aliases w:val="Main Title Carattere"/>
    <w:basedOn w:val="Carpredefinitoparagrafo"/>
    <w:link w:val="Titolo"/>
    <w:uiPriority w:val="10"/>
    <w:rsid w:val="00E77FA2"/>
    <w:rPr>
      <w:rFonts w:eastAsia="Times New Roman"/>
      <w:b/>
      <w:color w:val="1F3C7F" w:themeColor="text2"/>
      <w:kern w:val="0"/>
      <w:sz w:val="40"/>
      <w:szCs w:val="40"/>
      <w:lang w:val="en-GB"/>
    </w:rPr>
  </w:style>
  <w:style w:type="paragraph" w:styleId="Sottotitolo">
    <w:name w:val="Subtitle"/>
    <w:aliases w:val="Subtitle 1"/>
    <w:basedOn w:val="Corps"/>
    <w:next w:val="Normale"/>
    <w:link w:val="SottotitoloCarattere"/>
    <w:uiPriority w:val="11"/>
    <w:qFormat/>
    <w:rsid w:val="00DC1202"/>
    <w:pPr>
      <w:widowControl w:val="0"/>
      <w:spacing w:before="360" w:after="180"/>
      <w:jc w:val="both"/>
    </w:pPr>
    <w:rPr>
      <w:rFonts w:cs="Arial"/>
      <w:b/>
      <w:bCs/>
      <w:color w:val="1F3C7F" w:themeColor="text2"/>
      <w:sz w:val="28"/>
      <w:szCs w:val="28"/>
      <w:lang w:val="en-US"/>
    </w:rPr>
  </w:style>
  <w:style w:type="character" w:customStyle="1" w:styleId="SottotitoloCarattere">
    <w:name w:val="Sottotitolo Carattere"/>
    <w:aliases w:val="Subtitle 1 Carattere"/>
    <w:basedOn w:val="Carpredefinitoparagrafo"/>
    <w:link w:val="Sottotitolo"/>
    <w:uiPriority w:val="11"/>
    <w:rsid w:val="00DC1202"/>
    <w:rPr>
      <w:rFonts w:eastAsia="Arial Unicode MS" w:cs="Arial"/>
      <w:b/>
      <w:bCs/>
      <w:color w:val="1F3C7F" w:themeColor="text2"/>
      <w:kern w:val="0"/>
      <w:sz w:val="28"/>
      <w:szCs w:val="28"/>
      <w:u w:color="525352"/>
      <w:lang w:val="en-US"/>
      <w14:textOutline w14:w="0" w14:cap="flat" w14:cmpd="sng" w14:algn="ctr">
        <w14:noFill/>
        <w14:prstDash w14:val="solid"/>
        <w14:bevel/>
      </w14:textOutline>
    </w:rPr>
  </w:style>
  <w:style w:type="paragraph" w:styleId="Citazione">
    <w:name w:val="Quote"/>
    <w:basedOn w:val="Normale"/>
    <w:next w:val="Normale"/>
    <w:link w:val="CitazioneCarattere"/>
    <w:uiPriority w:val="29"/>
    <w:rsid w:val="00DC1202"/>
    <w:pPr>
      <w:spacing w:before="160" w:after="160"/>
      <w:jc w:val="center"/>
    </w:pPr>
    <w:rPr>
      <w:i/>
      <w:iCs/>
      <w:color w:val="7E7E7E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C1202"/>
    <w:rPr>
      <w:i/>
      <w:iCs/>
      <w:color w:val="7E7E7E" w:themeColor="text1" w:themeTint="BF"/>
    </w:rPr>
  </w:style>
  <w:style w:type="paragraph" w:styleId="Paragrafoelenco">
    <w:name w:val="List Paragraph"/>
    <w:basedOn w:val="Normale"/>
    <w:uiPriority w:val="34"/>
    <w:rsid w:val="00DC120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rsid w:val="00DC1202"/>
    <w:rPr>
      <w:i/>
      <w:iCs/>
      <w:color w:val="007CA8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rsid w:val="00DC1202"/>
    <w:pPr>
      <w:pBdr>
        <w:top w:val="single" w:sz="4" w:space="10" w:color="007CA8" w:themeColor="accent1" w:themeShade="BF"/>
        <w:bottom w:val="single" w:sz="4" w:space="10" w:color="007CA8" w:themeColor="accent1" w:themeShade="BF"/>
      </w:pBdr>
      <w:spacing w:before="360" w:after="360"/>
      <w:ind w:left="864" w:right="864"/>
      <w:jc w:val="center"/>
    </w:pPr>
    <w:rPr>
      <w:i/>
      <w:iCs/>
      <w:color w:val="007CA8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C1202"/>
    <w:rPr>
      <w:i/>
      <w:iCs/>
      <w:color w:val="007CA8" w:themeColor="accent1" w:themeShade="BF"/>
    </w:rPr>
  </w:style>
  <w:style w:type="character" w:styleId="Riferimentointenso">
    <w:name w:val="Intense Reference"/>
    <w:basedOn w:val="Carpredefinitoparagrafo"/>
    <w:uiPriority w:val="32"/>
    <w:rsid w:val="00DC1202"/>
    <w:rPr>
      <w:b/>
      <w:bCs/>
      <w:smallCaps/>
      <w:color w:val="007CA8" w:themeColor="accent1" w:themeShade="BF"/>
      <w:spacing w:val="5"/>
    </w:rPr>
  </w:style>
  <w:style w:type="character" w:customStyle="1" w:styleId="Aucun">
    <w:name w:val="Aucun"/>
    <w:rsid w:val="00DC1202"/>
  </w:style>
  <w:style w:type="paragraph" w:customStyle="1" w:styleId="Corps">
    <w:name w:val="Corps"/>
    <w:rsid w:val="00DC1202"/>
    <w:rPr>
      <w:rFonts w:eastAsia="Arial Unicode MS" w:cs="Arial Unicode MS"/>
      <w:color w:val="525352"/>
      <w:kern w:val="0"/>
      <w:u w:color="525352"/>
      <w:lang w:val="fr-BE"/>
      <w14:textOutline w14:w="0" w14:cap="flat" w14:cmpd="sng" w14:algn="ctr">
        <w14:noFill/>
        <w14:prstDash w14:val="solid"/>
        <w14:bevel/>
      </w14:textOutline>
    </w:rPr>
  </w:style>
  <w:style w:type="character" w:styleId="Collegamentoipertestuale">
    <w:name w:val="Hyperlink"/>
    <w:basedOn w:val="Carpredefinitoparagrafo"/>
    <w:uiPriority w:val="99"/>
    <w:unhideWhenUsed/>
    <w:rsid w:val="00DC1202"/>
    <w:rPr>
      <w:color w:val="00A7E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rsid w:val="005F0CE9"/>
    <w:pPr>
      <w:keepNext/>
      <w:keepLines/>
      <w:tabs>
        <w:tab w:val="left" w:pos="284"/>
      </w:tabs>
      <w:spacing w:before="57" w:line="260" w:lineRule="exact"/>
      <w:ind w:left="284" w:hanging="284"/>
      <w:jc w:val="left"/>
    </w:pPr>
    <w:rPr>
      <w:rFonts w:eastAsia="Times New Roman" w:cs="Times New Roman"/>
      <w:sz w:val="16"/>
      <w:szCs w:val="20"/>
      <w:lang w:val="de-DE" w:eastAsia="de-D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5F0CE9"/>
    <w:rPr>
      <w:rFonts w:eastAsia="Times New Roman"/>
      <w:color w:val="1F3C7F" w:themeColor="text2"/>
      <w:kern w:val="0"/>
      <w:sz w:val="16"/>
      <w:szCs w:val="20"/>
      <w:lang w:val="de-DE" w:eastAsia="de-DE"/>
    </w:rPr>
  </w:style>
  <w:style w:type="character" w:styleId="Rimandonotaapidipagina">
    <w:name w:val="footnote reference"/>
    <w:basedOn w:val="Carpredefinitoparagrafo"/>
    <w:uiPriority w:val="99"/>
    <w:rsid w:val="00DC1202"/>
    <w:rPr>
      <w:sz w:val="18"/>
      <w:vertAlign w:val="superscript"/>
    </w:rPr>
  </w:style>
  <w:style w:type="paragraph" w:styleId="Nessunaspaziatura">
    <w:name w:val="No Spacing"/>
    <w:aliases w:val="Bullet points"/>
    <w:basedOn w:val="Corps"/>
    <w:uiPriority w:val="1"/>
    <w:qFormat/>
    <w:rsid w:val="00DC1202"/>
    <w:pPr>
      <w:widowControl w:val="0"/>
      <w:numPr>
        <w:numId w:val="1"/>
      </w:numPr>
      <w:spacing w:before="60" w:after="240" w:line="360" w:lineRule="auto"/>
      <w:ind w:left="714" w:hanging="357"/>
      <w:jc w:val="both"/>
    </w:pPr>
    <w:rPr>
      <w:rFonts w:cs="Arial"/>
      <w:color w:val="1F3C7F" w:themeColor="text2"/>
      <w:lang w:val="en-US"/>
    </w:rPr>
  </w:style>
  <w:style w:type="paragraph" w:styleId="Intestazione">
    <w:name w:val="header"/>
    <w:basedOn w:val="Normale"/>
    <w:link w:val="IntestazioneCarattere"/>
    <w:uiPriority w:val="99"/>
    <w:unhideWhenUsed/>
    <w:rsid w:val="009D3423"/>
    <w:pPr>
      <w:tabs>
        <w:tab w:val="center" w:pos="4513"/>
        <w:tab w:val="right" w:pos="9026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D3423"/>
    <w:rPr>
      <w:rFonts w:eastAsiaTheme="minorHAnsi" w:cstheme="minorBidi"/>
      <w:color w:val="1F3C7F" w:themeColor="text2"/>
      <w:kern w:val="0"/>
      <w:szCs w:val="24"/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9D3423"/>
    <w:pPr>
      <w:tabs>
        <w:tab w:val="center" w:pos="4513"/>
        <w:tab w:val="right" w:pos="9026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D3423"/>
    <w:rPr>
      <w:rFonts w:eastAsiaTheme="minorHAnsi" w:cstheme="minorBidi"/>
      <w:color w:val="1F3C7F" w:themeColor="text2"/>
      <w:kern w:val="0"/>
      <w:szCs w:val="24"/>
      <w:lang w:val="en-GB"/>
    </w:rPr>
  </w:style>
  <w:style w:type="character" w:styleId="Numeropagina">
    <w:name w:val="page number"/>
    <w:basedOn w:val="Carpredefinitoparagrafo"/>
    <w:uiPriority w:val="99"/>
    <w:semiHidden/>
    <w:unhideWhenUsed/>
    <w:rsid w:val="00F16997"/>
  </w:style>
  <w:style w:type="character" w:styleId="Rimandocommento">
    <w:name w:val="annotation reference"/>
    <w:basedOn w:val="Carpredefinitoparagrafo"/>
    <w:uiPriority w:val="99"/>
    <w:semiHidden/>
    <w:unhideWhenUsed/>
    <w:rsid w:val="004138B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138B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138B8"/>
    <w:rPr>
      <w:rFonts w:eastAsiaTheme="minorHAnsi" w:cstheme="minorBidi"/>
      <w:color w:val="1F3C7F" w:themeColor="text2"/>
      <w:kern w:val="0"/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138B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138B8"/>
    <w:rPr>
      <w:rFonts w:eastAsiaTheme="minorHAnsi" w:cstheme="minorBidi"/>
      <w:b/>
      <w:bCs/>
      <w:color w:val="1F3C7F" w:themeColor="text2"/>
      <w:kern w:val="0"/>
      <w:sz w:val="20"/>
      <w:szCs w:val="20"/>
      <w:lang w:val="en-GB"/>
    </w:rPr>
  </w:style>
  <w:style w:type="paragraph" w:styleId="Revisione">
    <w:name w:val="Revision"/>
    <w:hidden/>
    <w:uiPriority w:val="99"/>
    <w:semiHidden/>
    <w:rsid w:val="004A6309"/>
    <w:rPr>
      <w:rFonts w:eastAsiaTheme="minorHAnsi" w:cstheme="minorBidi"/>
      <w:color w:val="1F3C7F" w:themeColor="text2"/>
      <w:kern w:val="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esident@fead.b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FEAD">
      <a:dk1>
        <a:srgbClr val="535353"/>
      </a:dk1>
      <a:lt1>
        <a:srgbClr val="FFFFFF"/>
      </a:lt1>
      <a:dk2>
        <a:srgbClr val="1F3C7F"/>
      </a:dk2>
      <a:lt2>
        <a:srgbClr val="FFFFFF"/>
      </a:lt2>
      <a:accent1>
        <a:srgbClr val="00A7E1"/>
      </a:accent1>
      <a:accent2>
        <a:srgbClr val="58AF3C"/>
      </a:accent2>
      <a:accent3>
        <a:srgbClr val="A3C84F"/>
      </a:accent3>
      <a:accent4>
        <a:srgbClr val="EB6723"/>
      </a:accent4>
      <a:accent5>
        <a:srgbClr val="FF8357"/>
      </a:accent5>
      <a:accent6>
        <a:srgbClr val="535353"/>
      </a:accent6>
      <a:hlink>
        <a:srgbClr val="00A7E1"/>
      </a:hlink>
      <a:folHlink>
        <a:srgbClr val="00A7E1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40ABC5DDCAEC469D3B77CEC3FA9612" ma:contentTypeVersion="18" ma:contentTypeDescription="Create a new document." ma:contentTypeScope="" ma:versionID="0c0def053d21d12807fac02c70d263a0">
  <xsd:schema xmlns:xsd="http://www.w3.org/2001/XMLSchema" xmlns:xs="http://www.w3.org/2001/XMLSchema" xmlns:p="http://schemas.microsoft.com/office/2006/metadata/properties" xmlns:ns2="abd4d7d9-8995-423f-896a-7071cea071c9" xmlns:ns3="b5e2b349-a18f-4497-973a-a1464950ca64" targetNamespace="http://schemas.microsoft.com/office/2006/metadata/properties" ma:root="true" ma:fieldsID="3af9ca119ab191cfa1062673512483ea" ns2:_="" ns3:_="">
    <xsd:import namespace="abd4d7d9-8995-423f-896a-7071cea071c9"/>
    <xsd:import namespace="b5e2b349-a18f-4497-973a-a1464950ca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d4d7d9-8995-423f-896a-7071cea071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0ecdda-45e1-4ce4-9374-17a93355d0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e2b349-a18f-4497-973a-a1464950ca6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6987d48-338f-4674-9936-b4dde270d7a6}" ma:internalName="TaxCatchAll" ma:showField="CatchAllData" ma:web="b5e2b349-a18f-4497-973a-a1464950ca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d4d7d9-8995-423f-896a-7071cea071c9">
      <Terms xmlns="http://schemas.microsoft.com/office/infopath/2007/PartnerControls"/>
    </lcf76f155ced4ddcb4097134ff3c332f>
    <TaxCatchAll xmlns="b5e2b349-a18f-4497-973a-a1464950ca64" xsi:nil="true"/>
  </documentManagement>
</p:properties>
</file>

<file path=customXml/itemProps1.xml><?xml version="1.0" encoding="utf-8"?>
<ds:datastoreItem xmlns:ds="http://schemas.openxmlformats.org/officeDocument/2006/customXml" ds:itemID="{B6995362-CBB5-4D5F-974D-4576ED16A6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B9F74A-767B-4475-A0A2-5261BFED3B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428468-BC31-4976-A854-FF2C0F08CF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d4d7d9-8995-423f-896a-7071cea071c9"/>
    <ds:schemaRef ds:uri="b5e2b349-a18f-4497-973a-a1464950ca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F3AA89-B0CD-4694-B749-584A6EB1485B}">
  <ds:schemaRefs>
    <ds:schemaRef ds:uri="http://schemas.microsoft.com/office/2006/metadata/properties"/>
    <ds:schemaRef ds:uri="http://schemas.microsoft.com/office/infopath/2007/PartnerControls"/>
    <ds:schemaRef ds:uri="abd4d7d9-8995-423f-896a-7071cea071c9"/>
    <ds:schemaRef ds:uri="b5e2b349-a18f-4497-973a-a1464950ca6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1012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6771</CharactersWithSpaces>
  <SharedDoc>false</SharedDoc>
  <HLinks>
    <vt:vector size="6" baseType="variant">
      <vt:variant>
        <vt:i4>4391010</vt:i4>
      </vt:variant>
      <vt:variant>
        <vt:i4>3</vt:i4>
      </vt:variant>
      <vt:variant>
        <vt:i4>0</vt:i4>
      </vt:variant>
      <vt:variant>
        <vt:i4>5</vt:i4>
      </vt:variant>
      <vt:variant>
        <vt:lpwstr>mailto:president@fead.be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Emmanuel Maes</dc:creator>
  <cp:keywords/>
  <dc:description/>
  <cp:lastModifiedBy>Assoambiente</cp:lastModifiedBy>
  <cp:revision>2</cp:revision>
  <dcterms:created xsi:type="dcterms:W3CDTF">2026-03-30T15:28:00Z</dcterms:created>
  <dcterms:modified xsi:type="dcterms:W3CDTF">2026-03-30T15:28:00Z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0x0101009140ABC5DDCAEC469D3B77CEC3FA9612</vt:lpwstr>
  </property>
  <property fmtid="{D5CDD505-2E9C-101B-9397-08002B2CF9AE}" pid="3" name="MediaServiceImageTags">
    <vt:lpwstr/>
  </property>
</Properties>
</file>